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81CCE1">
      <w:pPr>
        <w:spacing w:line="325" w:lineRule="auto"/>
        <w:rPr>
          <w:rFonts w:ascii="Arial"/>
          <w:sz w:val="21"/>
        </w:rPr>
      </w:pPr>
    </w:p>
    <w:p w14:paraId="6957FAB3">
      <w:pPr>
        <w:spacing w:before="100" w:line="221" w:lineRule="auto"/>
        <w:ind w:left="381"/>
        <w:jc w:val="center"/>
        <w:rPr>
          <w:rFonts w:hint="eastAsia" w:ascii="黑体" w:hAnsi="黑体" w:eastAsia="黑体" w:cs="黑体"/>
          <w:b/>
          <w:bCs/>
          <w:spacing w:val="-5"/>
          <w:sz w:val="31"/>
          <w:szCs w:val="31"/>
          <w:lang w:val="en-US" w:eastAsia="zh-CN"/>
        </w:rPr>
      </w:pPr>
      <w:r>
        <w:rPr>
          <w:rFonts w:hint="eastAsia" w:ascii="黑体" w:hAnsi="黑体" w:eastAsia="黑体" w:cs="黑体"/>
          <w:b/>
          <w:bCs/>
          <w:spacing w:val="-5"/>
          <w:sz w:val="31"/>
          <w:szCs w:val="31"/>
        </w:rPr>
        <w:t>“数智赋能证据导向的项目式学科实践研究”子课题开放申请</w:t>
      </w:r>
      <w:r>
        <w:rPr>
          <w:rFonts w:hint="eastAsia" w:ascii="黑体" w:hAnsi="黑体" w:eastAsia="黑体" w:cs="黑体"/>
          <w:b/>
          <w:bCs/>
          <w:spacing w:val="-5"/>
          <w:sz w:val="31"/>
          <w:szCs w:val="31"/>
          <w:lang w:val="en-US" w:eastAsia="zh-CN"/>
        </w:rPr>
        <w:t>指南</w:t>
      </w:r>
    </w:p>
    <w:p w14:paraId="4414DDAF">
      <w:pPr>
        <w:spacing w:line="314" w:lineRule="auto"/>
        <w:rPr>
          <w:rFonts w:ascii="Arial"/>
          <w:sz w:val="21"/>
        </w:rPr>
      </w:pPr>
    </w:p>
    <w:p w14:paraId="7FD83AB4">
      <w:pPr>
        <w:spacing w:line="314" w:lineRule="auto"/>
        <w:rPr>
          <w:rFonts w:ascii="Arial"/>
          <w:sz w:val="21"/>
        </w:rPr>
      </w:pPr>
    </w:p>
    <w:p w14:paraId="7B205C2A">
      <w:pPr>
        <w:pStyle w:val="2"/>
        <w:keepNext/>
        <w:keepLines/>
        <w:pageBreakBefore w:val="0"/>
        <w:widowControl/>
        <w:kinsoku w:val="0"/>
        <w:wordWrap/>
        <w:overflowPunct/>
        <w:topLinePunct w:val="0"/>
        <w:autoSpaceDE w:val="0"/>
        <w:autoSpaceDN w:val="0"/>
        <w:bidi w:val="0"/>
        <w:adjustRightInd w:val="0"/>
        <w:snapToGrid w:val="0"/>
        <w:spacing w:before="0" w:after="0" w:line="360" w:lineRule="auto"/>
        <w:textAlignment w:val="baseline"/>
      </w:pPr>
      <w:r>
        <w:t>一、课题背景</w:t>
      </w:r>
    </w:p>
    <w:p w14:paraId="2E85CA73">
      <w:pPr>
        <w:keepNext w:val="0"/>
        <w:keepLines w:val="0"/>
        <w:pageBreakBefore w:val="0"/>
        <w:widowControl/>
        <w:kinsoku/>
        <w:wordWrap w:val="0"/>
        <w:overflowPunct/>
        <w:topLinePunct w:val="0"/>
        <w:autoSpaceDE w:val="0"/>
        <w:autoSpaceDN w:val="0"/>
        <w:bidi w:val="0"/>
        <w:adjustRightInd w:val="0"/>
        <w:snapToGrid w:val="0"/>
        <w:spacing w:line="360" w:lineRule="auto"/>
        <w:ind w:firstLine="420"/>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2022 年《义务教育课程方案和课程标准》明确深化教学改革，倡导基于真实情境的项目式学习，培养学生知识综合运用能力。2023 年《关于加强新时代中小学科学教育工作的意见》强化了科学教育与项目式学习的定位，凸显其在创新人才培养、高质量发展中的关键作用。2025 年《关于加强新时代中小学科学教育工作的二十条措施》进一步要求推进真实问题驱动的跨学科项目式学习。近年来，智能技术加速融入教育，2025年《教育强国建设规划纲要（2024-2035年）》中明确提出要促进人工智能助力教育变革，深化人工智能助推教师队伍建设。2025年《教师生成式人工智能应用指引（第一版）》明确人工智能赋能教学变革、助力学习与评价等要求，为数智赋能证据导向的项目式学科实践研究提供坚实政策支撑。</w:t>
      </w:r>
    </w:p>
    <w:p w14:paraId="70A38B17">
      <w:pPr>
        <w:keepNext w:val="0"/>
        <w:keepLines w:val="0"/>
        <w:pageBreakBefore w:val="0"/>
        <w:widowControl/>
        <w:kinsoku/>
        <w:wordWrap w:val="0"/>
        <w:overflowPunct/>
        <w:topLinePunct w:val="0"/>
        <w:autoSpaceDE w:val="0"/>
        <w:autoSpaceDN w:val="0"/>
        <w:bidi w:val="0"/>
        <w:adjustRightInd w:val="0"/>
        <w:snapToGrid w:val="0"/>
        <w:spacing w:line="360" w:lineRule="auto"/>
        <w:ind w:firstLine="420"/>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北京师范大学未来教育高精尖创新中心（以下简称“高精尖中心”）是北京市政府支持建设的首批高精尖中心之一，是以教育科技创新为核心方向的高水平国际化创新平台。面向教育深化综合改革的重大实践需求，高精尖中心汇聚北京师范大学的教育信息化领域、学科教育领域专家，发挥既有学科和专家团队优势，深入探索新课标下的学科课程实践，创新变革教育教学方式，并通过持续实践和改进，形成了一系列包括平台、工具、资源、学科实践质量提升的教学教研系列解决方案，并在全国重点区域开展了实践探索，取得了良好的效果，积累了丰富的学科实践相关研究与实践经验。</w:t>
      </w:r>
    </w:p>
    <w:p w14:paraId="49DDB429">
      <w:pPr>
        <w:keepNext w:val="0"/>
        <w:keepLines w:val="0"/>
        <w:pageBreakBefore w:val="0"/>
        <w:widowControl/>
        <w:kinsoku/>
        <w:wordWrap w:val="0"/>
        <w:overflowPunct/>
        <w:topLinePunct w:val="0"/>
        <w:autoSpaceDE w:val="0"/>
        <w:autoSpaceDN w:val="0"/>
        <w:bidi w:val="0"/>
        <w:adjustRightInd w:val="0"/>
        <w:snapToGrid w:val="0"/>
        <w:spacing w:line="360" w:lineRule="auto"/>
        <w:ind w:firstLine="420"/>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本课题从证据导向的项目式学习视角探讨学科实践活动和跨学科主题的设计与实施，旨在进一步探索人工智能赋能下的项目式学科实践活动，进一步加强学科知识与学生经验、社会生活的联系，强化学科内知识整合，加强学科间相互关联，推动课堂教学改革，促进学生核心素养提升，实现学科育人价值，落实新时代的育人目标，现发布未来教育高精尖创新中心子课题申请指南。</w:t>
      </w:r>
    </w:p>
    <w:p w14:paraId="70F7FFE4">
      <w:pPr>
        <w:pStyle w:val="2"/>
        <w:keepNext/>
        <w:keepLines/>
        <w:pageBreakBefore w:val="0"/>
        <w:widowControl/>
        <w:kinsoku w:val="0"/>
        <w:wordWrap/>
        <w:overflowPunct/>
        <w:topLinePunct w:val="0"/>
        <w:autoSpaceDE w:val="0"/>
        <w:autoSpaceDN w:val="0"/>
        <w:bidi w:val="0"/>
        <w:adjustRightInd w:val="0"/>
        <w:snapToGrid w:val="0"/>
        <w:spacing w:before="0" w:after="0" w:line="360" w:lineRule="auto"/>
        <w:textAlignment w:val="baseline"/>
      </w:pPr>
      <w:r>
        <w:t>二、课题目标</w:t>
      </w:r>
    </w:p>
    <w:p w14:paraId="2C46F19A">
      <w:pPr>
        <w:keepNext w:val="0"/>
        <w:keepLines w:val="0"/>
        <w:pageBreakBefore w:val="0"/>
        <w:widowControl/>
        <w:kinsoku/>
        <w:wordWrap/>
        <w:overflowPunct/>
        <w:topLinePunct w:val="0"/>
        <w:autoSpaceDE w:val="0"/>
        <w:autoSpaceDN w:val="0"/>
        <w:bidi w:val="0"/>
        <w:adjustRightInd w:val="0"/>
        <w:snapToGrid w:val="0"/>
        <w:spacing w:line="360" w:lineRule="auto"/>
        <w:ind w:firstLine="420"/>
        <w:textAlignment w:val="baseline"/>
        <w:rPr>
          <w:rFonts w:hint="eastAsia"/>
          <w:b/>
          <w:bCs/>
        </w:rPr>
      </w:pPr>
      <w:r>
        <w:rPr>
          <w:rFonts w:hint="eastAsia"/>
          <w:b/>
          <w:bCs/>
        </w:rPr>
        <w:t>1.构建技术赋能的项目式学习的理论支撑</w:t>
      </w:r>
    </w:p>
    <w:p w14:paraId="134BA9BD">
      <w:pPr>
        <w:keepNext w:val="0"/>
        <w:keepLines w:val="0"/>
        <w:pageBreakBefore w:val="0"/>
        <w:widowControl/>
        <w:kinsoku/>
        <w:wordWrap/>
        <w:overflowPunct/>
        <w:topLinePunct w:val="0"/>
        <w:autoSpaceDE w:val="0"/>
        <w:autoSpaceDN w:val="0"/>
        <w:bidi w:val="0"/>
        <w:adjustRightInd w:val="0"/>
        <w:snapToGrid w:val="0"/>
        <w:spacing w:line="360" w:lineRule="auto"/>
        <w:ind w:firstLine="420"/>
        <w:textAlignment w:val="baseline"/>
        <w:rPr>
          <w:rFonts w:hint="eastAsia"/>
        </w:rPr>
      </w:pPr>
      <w:r>
        <w:rPr>
          <w:rFonts w:hint="eastAsia"/>
        </w:rPr>
        <w:t>立足国家课程改革与人工智能教育政策导向，紧扣数智技术赋能教育的发展趋势，系统建构兼具理论科学性、实践指导性的数智赋能证据导向的项目式学科实践理论依据，为一线教师开展项目式学科实践的系统化设计、规范化实施提供坚实的理论指引与实操参考，助力提升项目式学科实践设计的科学性、针对性与有效性，推动项目式学科实践与数智技术、证据导向理念的深度融合落地。</w:t>
      </w:r>
    </w:p>
    <w:p w14:paraId="556F552D">
      <w:pPr>
        <w:keepNext w:val="0"/>
        <w:keepLines w:val="0"/>
        <w:pageBreakBefore w:val="0"/>
        <w:widowControl/>
        <w:kinsoku/>
        <w:wordWrap/>
        <w:overflowPunct/>
        <w:topLinePunct w:val="0"/>
        <w:autoSpaceDE w:val="0"/>
        <w:autoSpaceDN w:val="0"/>
        <w:bidi w:val="0"/>
        <w:adjustRightInd w:val="0"/>
        <w:snapToGrid w:val="0"/>
        <w:spacing w:line="360" w:lineRule="auto"/>
        <w:ind w:firstLine="420"/>
        <w:textAlignment w:val="baseline"/>
        <w:rPr>
          <w:rFonts w:hint="eastAsia"/>
          <w:b/>
          <w:bCs/>
        </w:rPr>
      </w:pPr>
      <w:r>
        <w:rPr>
          <w:rFonts w:hint="eastAsia"/>
          <w:b/>
          <w:bCs/>
        </w:rPr>
        <w:t>2.探索数智赋能证据导向的项目式学科实践的实施路径</w:t>
      </w:r>
    </w:p>
    <w:p w14:paraId="38FB7638">
      <w:pPr>
        <w:keepNext w:val="0"/>
        <w:keepLines w:val="0"/>
        <w:pageBreakBefore w:val="0"/>
        <w:widowControl/>
        <w:kinsoku/>
        <w:wordWrap/>
        <w:overflowPunct/>
        <w:topLinePunct w:val="0"/>
        <w:autoSpaceDE w:val="0"/>
        <w:autoSpaceDN w:val="0"/>
        <w:bidi w:val="0"/>
        <w:adjustRightInd w:val="0"/>
        <w:snapToGrid w:val="0"/>
        <w:spacing w:line="360" w:lineRule="auto"/>
        <w:ind w:firstLine="420"/>
        <w:textAlignment w:val="baseline"/>
        <w:rPr>
          <w:rFonts w:hint="eastAsia"/>
        </w:rPr>
      </w:pPr>
      <w:r>
        <w:rPr>
          <w:rFonts w:hint="eastAsia"/>
        </w:rPr>
        <w:t>依托人工智能、数字化工具与北京师范大学未来教育高精尖创新中心现有平台资源，聚焦项目式学科实践的实施难点与优化方向，系统探索数智技术支撑下，证据收集、分析、反馈与应用贯穿项目式学科实践全流程的科学实施路径，提炼适配不同学科、学段的实践策略，为一线教师开展高质量项目式学科实践提供实践指引与专业支撑，助力学科实践育人实效提升。</w:t>
      </w:r>
    </w:p>
    <w:p w14:paraId="7178CB68">
      <w:pPr>
        <w:keepNext w:val="0"/>
        <w:keepLines w:val="0"/>
        <w:pageBreakBefore w:val="0"/>
        <w:widowControl/>
        <w:kinsoku/>
        <w:wordWrap/>
        <w:overflowPunct/>
        <w:topLinePunct w:val="0"/>
        <w:autoSpaceDE w:val="0"/>
        <w:autoSpaceDN w:val="0"/>
        <w:bidi w:val="0"/>
        <w:adjustRightInd w:val="0"/>
        <w:snapToGrid w:val="0"/>
        <w:spacing w:line="360" w:lineRule="auto"/>
        <w:ind w:firstLine="420"/>
        <w:textAlignment w:val="baseline"/>
        <w:rPr>
          <w:rFonts w:hint="eastAsia"/>
          <w:b/>
          <w:bCs/>
        </w:rPr>
      </w:pPr>
      <w:r>
        <w:rPr>
          <w:rFonts w:hint="eastAsia"/>
          <w:b/>
          <w:bCs/>
        </w:rPr>
        <w:t>3.提升学生核心素养与教师教学实践能力</w:t>
      </w:r>
    </w:p>
    <w:p w14:paraId="06AB6344">
      <w:pPr>
        <w:keepNext w:val="0"/>
        <w:keepLines w:val="0"/>
        <w:pageBreakBefore w:val="0"/>
        <w:widowControl/>
        <w:kinsoku/>
        <w:wordWrap/>
        <w:overflowPunct/>
        <w:topLinePunct w:val="0"/>
        <w:autoSpaceDE w:val="0"/>
        <w:autoSpaceDN w:val="0"/>
        <w:bidi w:val="0"/>
        <w:adjustRightInd w:val="0"/>
        <w:snapToGrid w:val="0"/>
        <w:spacing w:line="360" w:lineRule="auto"/>
        <w:ind w:firstLine="420"/>
        <w:textAlignment w:val="baseline"/>
        <w:rPr>
          <w:rFonts w:hint="eastAsia"/>
        </w:rPr>
      </w:pPr>
      <w:r>
        <w:rPr>
          <w:rFonts w:hint="eastAsia"/>
        </w:rPr>
        <w:t>以课题为载体，强化学科知识与学生生活经验、社会实际的关联，引导学生在项目实践中主动探究、合作交流，综合运用学科知识解决真实问题，培养学生的探究能力、合作能力、创新能力与证据意识，落实核心素养。同时，通过课题申报、实践探索、教研交流、专家指导等环节，搭建一线教师专业发展平台，提升教师跨学科项目式教学设计、数智工具应用、证据分析与评价的综合能力，助力教师专业成长，打造高素质数字化教师队伍。</w:t>
      </w:r>
    </w:p>
    <w:p w14:paraId="58C49DB6">
      <w:pPr>
        <w:keepNext w:val="0"/>
        <w:keepLines w:val="0"/>
        <w:pageBreakBefore w:val="0"/>
        <w:widowControl/>
        <w:kinsoku/>
        <w:wordWrap/>
        <w:overflowPunct/>
        <w:topLinePunct w:val="0"/>
        <w:autoSpaceDE w:val="0"/>
        <w:autoSpaceDN w:val="0"/>
        <w:bidi w:val="0"/>
        <w:adjustRightInd w:val="0"/>
        <w:snapToGrid w:val="0"/>
        <w:spacing w:line="360" w:lineRule="auto"/>
        <w:ind w:firstLine="420"/>
        <w:textAlignment w:val="baseline"/>
        <w:rPr>
          <w:rFonts w:hint="eastAsia"/>
          <w:b/>
          <w:bCs/>
        </w:rPr>
      </w:pPr>
      <w:r>
        <w:rPr>
          <w:rFonts w:hint="eastAsia"/>
          <w:b/>
          <w:bCs/>
        </w:rPr>
        <w:t>4.形成可推广的实践成果与交流机制</w:t>
      </w:r>
    </w:p>
    <w:p w14:paraId="033E658B">
      <w:pPr>
        <w:keepNext w:val="0"/>
        <w:keepLines w:val="0"/>
        <w:pageBreakBefore w:val="0"/>
        <w:widowControl/>
        <w:kinsoku/>
        <w:wordWrap/>
        <w:overflowPunct/>
        <w:topLinePunct w:val="0"/>
        <w:autoSpaceDE w:val="0"/>
        <w:autoSpaceDN w:val="0"/>
        <w:bidi w:val="0"/>
        <w:adjustRightInd w:val="0"/>
        <w:snapToGrid w:val="0"/>
        <w:spacing w:line="360" w:lineRule="auto"/>
        <w:ind w:firstLine="420"/>
        <w:textAlignment w:val="baseline"/>
      </w:pPr>
      <w:r>
        <w:rPr>
          <w:rFonts w:hint="eastAsia"/>
        </w:rPr>
        <w:t>总结课题实践过程中的有效经验、典型案例与创新做法，提炼数智赋能证据导向的项目式学科实践的优秀教学案例、实施策略、评价体系与教研模式等，形成一批具有代表性、可复制、可推广的实践成果。依托北京师范大学未来教育高精尖创新中心的平台优势，推动课题成果在区域内或全国范围内的一线学校落地应用，发挥示范引领作用，落实新时代中小学科学教育与教学改革的各项要求。</w:t>
      </w:r>
    </w:p>
    <w:p w14:paraId="65B1106D">
      <w:pPr>
        <w:spacing w:line="245" w:lineRule="auto"/>
        <w:rPr>
          <w:rFonts w:ascii="Arial"/>
          <w:sz w:val="21"/>
        </w:rPr>
      </w:pPr>
    </w:p>
    <w:p w14:paraId="66E2B91D">
      <w:pPr>
        <w:pStyle w:val="6"/>
        <w:spacing w:before="102" w:line="360" w:lineRule="auto"/>
        <w:ind w:left="114"/>
        <w:outlineLvl w:val="0"/>
        <w:rPr>
          <w:sz w:val="31"/>
          <w:szCs w:val="31"/>
        </w:rPr>
      </w:pPr>
      <w:r>
        <w:rPr>
          <w:b/>
          <w:bCs/>
          <w:spacing w:val="6"/>
          <w:sz w:val="31"/>
          <w:szCs w:val="31"/>
        </w:rPr>
        <w:t>三、课题专</w:t>
      </w:r>
      <w:r>
        <w:rPr>
          <w:rFonts w:hint="eastAsia"/>
          <w:b/>
          <w:bCs/>
          <w:spacing w:val="6"/>
          <w:sz w:val="31"/>
          <w:szCs w:val="31"/>
          <w:lang w:val="en-US" w:eastAsia="zh-CN"/>
        </w:rPr>
        <w:t>家</w:t>
      </w:r>
      <w:r>
        <w:rPr>
          <w:b/>
          <w:bCs/>
          <w:spacing w:val="6"/>
          <w:sz w:val="31"/>
          <w:szCs w:val="31"/>
        </w:rPr>
        <w:t>组</w:t>
      </w:r>
    </w:p>
    <w:p w14:paraId="40F6CA7B">
      <w:pPr>
        <w:keepNext w:val="0"/>
        <w:keepLines w:val="0"/>
        <w:pageBreakBefore w:val="0"/>
        <w:widowControl/>
        <w:kinsoku w:val="0"/>
        <w:wordWrap/>
        <w:overflowPunct/>
        <w:topLinePunct w:val="0"/>
        <w:autoSpaceDE w:val="0"/>
        <w:autoSpaceDN w:val="0"/>
        <w:bidi w:val="0"/>
        <w:adjustRightInd w:val="0"/>
        <w:snapToGrid w:val="0"/>
        <w:spacing w:line="360" w:lineRule="auto"/>
        <w:ind w:firstLine="420"/>
        <w:textAlignment w:val="baseline"/>
        <w:rPr>
          <w:rFonts w:hint="eastAsia"/>
          <w:spacing w:val="-6"/>
        </w:rPr>
      </w:pPr>
      <w:r>
        <w:rPr>
          <w:rFonts w:hint="eastAsia"/>
          <w:spacing w:val="-6"/>
        </w:rPr>
        <w:t>为了加强对子课题的指导力度，使课题研究得以顺利的进行，本课题将联合北京师范大学组成联合的总课题组，总课题组结构如下:</w:t>
      </w:r>
    </w:p>
    <w:p w14:paraId="0A7E95B5">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spacing w:val="-6"/>
        </w:rPr>
      </w:pPr>
      <w:r>
        <w:rPr>
          <w:rFonts w:hint="eastAsia"/>
          <w:spacing w:val="-6"/>
        </w:rPr>
        <w:t>组 长：</w:t>
      </w:r>
    </w:p>
    <w:p w14:paraId="37BC34D9">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spacing w:val="-6"/>
        </w:rPr>
      </w:pPr>
      <w:r>
        <w:rPr>
          <w:rFonts w:hint="eastAsia"/>
          <w:spacing w:val="-6"/>
        </w:rPr>
        <w:t>马    宁    北京师范大学教授、博士生导师，教育技术学院院长，教育学部人工智能教育实验室执行主任，“移动学习”教育部-中国移动联合实验室副主任，北京师范大学未来教育高精尖创新中心项目首席</w:t>
      </w:r>
    </w:p>
    <w:p w14:paraId="4A71AD19">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spacing w:val="-6"/>
        </w:rPr>
      </w:pPr>
      <w:r>
        <w:rPr>
          <w:rFonts w:hint="eastAsia"/>
          <w:spacing w:val="-6"/>
        </w:rPr>
        <w:t>成 员：</w:t>
      </w:r>
    </w:p>
    <w:p w14:paraId="6BA5D147">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spacing w:val="-6"/>
        </w:rPr>
      </w:pPr>
      <w:r>
        <w:rPr>
          <w:rFonts w:hint="eastAsia"/>
          <w:spacing w:val="-6"/>
        </w:rPr>
        <w:t>余胜泉    北京师范大学教授、博士生导师，未来教育高精尖创新中心执行主任</w:t>
      </w:r>
    </w:p>
    <w:p w14:paraId="111FAD11">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spacing w:val="-6"/>
        </w:rPr>
      </w:pPr>
      <w:r>
        <w:rPr>
          <w:rFonts w:hint="eastAsia"/>
          <w:spacing w:val="-6"/>
        </w:rPr>
        <w:t>吴    娟    北京师范大学副教授、硕士生导师，未来教育高精尖创新中心项目首席专家</w:t>
      </w:r>
    </w:p>
    <w:p w14:paraId="04BC26C1">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spacing w:val="-6"/>
        </w:rPr>
      </w:pPr>
      <w:r>
        <w:rPr>
          <w:rFonts w:hint="eastAsia"/>
          <w:spacing w:val="-6"/>
        </w:rPr>
        <w:t>陈    玲    北京师范大学副教授、硕士生导师，未来教育高精尖创新中心融合应用实验室主任</w:t>
      </w:r>
    </w:p>
    <w:p w14:paraId="238AB79A">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spacing w:val="-6"/>
        </w:rPr>
      </w:pPr>
      <w:r>
        <w:rPr>
          <w:rFonts w:hint="eastAsia"/>
          <w:spacing w:val="-6"/>
        </w:rPr>
        <w:t>卢    宇    北京师范大学副教授、博士生导师，未来教育高精尖中心人工智能实验室主任</w:t>
      </w:r>
    </w:p>
    <w:p w14:paraId="475B9A4B">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spacing w:val="-6"/>
        </w:rPr>
      </w:pPr>
      <w:r>
        <w:rPr>
          <w:rFonts w:hint="eastAsia"/>
          <w:spacing w:val="-6"/>
        </w:rPr>
        <w:t>李晓庆    未来教育高精尖创新中心学科教育实验室主任</w:t>
      </w:r>
    </w:p>
    <w:p w14:paraId="2615B449">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spacing w:val="-6"/>
        </w:rPr>
      </w:pPr>
      <w:r>
        <w:rPr>
          <w:rFonts w:hint="eastAsia"/>
          <w:spacing w:val="-6"/>
        </w:rPr>
        <w:t>张    翔    未来教育高精尖创新中心合作发展办公室主任</w:t>
      </w:r>
    </w:p>
    <w:p w14:paraId="4E7FFD54">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spacing w:val="-6"/>
        </w:rPr>
      </w:pPr>
      <w:r>
        <w:rPr>
          <w:rFonts w:hint="eastAsia"/>
          <w:spacing w:val="-6"/>
        </w:rPr>
        <w:t>崔京菁    未来教育高精尖创新中心学习科学实验室主任</w:t>
      </w:r>
    </w:p>
    <w:p w14:paraId="2E2DEDBF">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spacing w:val="-6"/>
        </w:rPr>
      </w:pPr>
      <w:r>
        <w:rPr>
          <w:rFonts w:hint="eastAsia"/>
          <w:spacing w:val="-6"/>
        </w:rPr>
        <w:t>陈鹏鹤    未来教育高精尖创新中心人工智能实验室副主任</w:t>
      </w:r>
    </w:p>
    <w:p w14:paraId="43B315E4">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spacing w:val="-6"/>
        </w:rPr>
      </w:pPr>
      <w:r>
        <w:rPr>
          <w:rFonts w:hint="eastAsia"/>
          <w:spacing w:val="-6"/>
        </w:rPr>
        <w:t>高梦楠    未来教育高精尖创新中心智能平台实验室主任</w:t>
      </w:r>
    </w:p>
    <w:p w14:paraId="126A6288">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spacing w:val="-6"/>
        </w:rPr>
      </w:pPr>
      <w:r>
        <w:rPr>
          <w:rFonts w:hint="eastAsia"/>
          <w:spacing w:val="-6"/>
        </w:rPr>
        <w:t>王    玮    未来教育高精尖创新中心合作发展办公室合作主管</w:t>
      </w:r>
    </w:p>
    <w:p w14:paraId="03F9C6C3">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spacing w:val="-6"/>
        </w:rPr>
      </w:pPr>
      <w:r>
        <w:rPr>
          <w:rFonts w:hint="eastAsia"/>
          <w:spacing w:val="-6"/>
        </w:rPr>
        <w:t>刘春旸    未来教育高精尖创新中心学习科学实验室助理教研员</w:t>
      </w:r>
    </w:p>
    <w:p w14:paraId="597E99F5">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r>
        <w:rPr>
          <w:rFonts w:hint="eastAsia"/>
          <w:spacing w:val="-6"/>
        </w:rPr>
        <w:t>林宇航    未来教育高精尖创新中心学习科学实验室助理教研员</w:t>
      </w:r>
    </w:p>
    <w:p w14:paraId="13E2D538">
      <w:pPr>
        <w:spacing w:line="310" w:lineRule="auto"/>
        <w:rPr>
          <w:rFonts w:ascii="Arial"/>
          <w:sz w:val="21"/>
        </w:rPr>
      </w:pPr>
    </w:p>
    <w:p w14:paraId="38E4C94D">
      <w:pPr>
        <w:pStyle w:val="6"/>
        <w:spacing w:before="102" w:line="225" w:lineRule="auto"/>
        <w:ind w:left="56"/>
        <w:outlineLvl w:val="0"/>
        <w:rPr>
          <w:sz w:val="31"/>
          <w:szCs w:val="31"/>
        </w:rPr>
      </w:pPr>
      <w:r>
        <w:rPr>
          <w:b/>
          <w:bCs/>
          <w:sz w:val="31"/>
          <w:szCs w:val="31"/>
        </w:rPr>
        <w:t>四、开放对象</w:t>
      </w:r>
    </w:p>
    <w:p w14:paraId="2C0EAC2E">
      <w:pPr>
        <w:pStyle w:val="6"/>
        <w:spacing w:before="262" w:line="366" w:lineRule="auto"/>
        <w:ind w:left="24" w:right="576" w:firstLine="437"/>
        <w:rPr>
          <w:spacing w:val="-3"/>
        </w:rPr>
      </w:pPr>
      <w:r>
        <w:rPr>
          <w:spacing w:val="-3"/>
        </w:rPr>
        <w:t>中小学教师，高校与科研院所、科技场馆、青少年宫、青少年活动中心、科技教育机</w:t>
      </w:r>
      <w:r>
        <w:rPr>
          <w:spacing w:val="12"/>
        </w:rPr>
        <w:t xml:space="preserve"> </w:t>
      </w:r>
      <w:r>
        <w:rPr>
          <w:spacing w:val="-3"/>
        </w:rPr>
        <w:t>构、社会团体、企事业单位中的专业人员。</w:t>
      </w:r>
    </w:p>
    <w:p w14:paraId="2FAB593A">
      <w:pPr>
        <w:pStyle w:val="6"/>
        <w:spacing w:before="262" w:line="366" w:lineRule="auto"/>
        <w:ind w:left="24" w:right="576" w:firstLine="437"/>
        <w:rPr>
          <w:spacing w:val="-3"/>
        </w:rPr>
      </w:pPr>
    </w:p>
    <w:p w14:paraId="15177585">
      <w:pPr>
        <w:pStyle w:val="6"/>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textAlignment w:val="baseline"/>
        <w:outlineLvl w:val="0"/>
        <w:rPr>
          <w:b/>
          <w:bCs/>
          <w:spacing w:val="5"/>
          <w:sz w:val="31"/>
          <w:szCs w:val="31"/>
        </w:rPr>
      </w:pPr>
      <w:r>
        <w:rPr>
          <w:rFonts w:hint="eastAsia" w:ascii="宋体" w:hAnsi="宋体" w:eastAsia="宋体" w:cs="宋体"/>
          <w:b/>
          <w:bCs/>
          <w:snapToGrid w:val="0"/>
          <w:color w:val="000000"/>
          <w:spacing w:val="5"/>
          <w:kern w:val="0"/>
          <w:sz w:val="31"/>
          <w:szCs w:val="31"/>
          <w:lang w:val="en-US" w:eastAsia="en-US" w:bidi="ar-SA"/>
        </w:rPr>
        <w:t>五、</w:t>
      </w:r>
      <w:r>
        <w:rPr>
          <w:b/>
          <w:bCs/>
          <w:spacing w:val="5"/>
          <w:sz w:val="31"/>
          <w:szCs w:val="31"/>
        </w:rPr>
        <w:t>课题方向与内容</w:t>
      </w:r>
    </w:p>
    <w:p w14:paraId="0E630ED5">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20"/>
        <w:textAlignment w:val="baseline"/>
        <w:rPr>
          <w:rFonts w:hint="eastAsia"/>
        </w:rPr>
      </w:pPr>
      <w:r>
        <w:rPr>
          <w:rFonts w:hint="eastAsia"/>
        </w:rPr>
        <w:t>子课题选题可围绕“智能技术赋能项目式学习”“数智赋能的跨学科主题活动的研究”“人工智能支持下的中小学科学实践项目设计与实施研究”“智能技术赋能科学论证能力发展的影响机制与实践路径研究”“数智赋能区域科学教育生态的协同推进机制研究”“人工智能赋能教育评价的设计与研究”“数智赋能证据导向的项目式学习促进教师专业发展研究”“基于证据导向的项目式学习系统（EPBL平台）的研究”展开相关的理论与实践探索，包括但不限于如下题目：</w:t>
      </w:r>
    </w:p>
    <w:p w14:paraId="3D873F8E">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20"/>
        <w:textAlignment w:val="baseline"/>
        <w:rPr>
          <w:rFonts w:hint="eastAsia"/>
          <w:b/>
          <w:bCs/>
        </w:rPr>
      </w:pPr>
      <w:r>
        <w:rPr>
          <w:rFonts w:hint="eastAsia"/>
          <w:b/>
          <w:bCs/>
        </w:rPr>
        <w:t>（1）智能技术赋能项目式学习</w:t>
      </w:r>
    </w:p>
    <w:p w14:paraId="43DF32D7">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20"/>
        <w:textAlignment w:val="baseline"/>
        <w:rPr>
          <w:rFonts w:hint="eastAsia"/>
        </w:rPr>
      </w:pPr>
      <w:r>
        <w:rPr>
          <w:rFonts w:hint="eastAsia"/>
        </w:rPr>
        <w:t>智能技术在项目式学习中的应用效果研究</w:t>
      </w:r>
    </w:p>
    <w:p w14:paraId="4291E3A3">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20"/>
        <w:textAlignment w:val="baseline"/>
        <w:rPr>
          <w:rFonts w:hint="eastAsia"/>
        </w:rPr>
      </w:pPr>
      <w:r>
        <w:rPr>
          <w:rFonts w:hint="eastAsia"/>
        </w:rPr>
        <w:t>生成式人工智能与高质量项目式学习深度融合路径研究</w:t>
      </w:r>
    </w:p>
    <w:p w14:paraId="6D454C08">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20"/>
        <w:textAlignment w:val="baseline"/>
        <w:rPr>
          <w:rFonts w:hint="eastAsia"/>
        </w:rPr>
      </w:pPr>
      <w:r>
        <w:rPr>
          <w:rFonts w:hint="eastAsia"/>
        </w:rPr>
        <w:t>生成式人工智能赋能单元整体教学的项目式学习设计与实践研究</w:t>
      </w:r>
    </w:p>
    <w:p w14:paraId="74290333">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20"/>
        <w:textAlignment w:val="baseline"/>
        <w:rPr>
          <w:rFonts w:hint="eastAsia"/>
        </w:rPr>
      </w:pPr>
      <w:r>
        <w:rPr>
          <w:rFonts w:hint="eastAsia"/>
        </w:rPr>
        <w:t>人工智能技术支持下的项目式学科实践设计与实施研究</w:t>
      </w:r>
    </w:p>
    <w:p w14:paraId="05DCD159">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20"/>
        <w:textAlignment w:val="baseline"/>
        <w:rPr>
          <w:rFonts w:hint="eastAsia"/>
        </w:rPr>
      </w:pPr>
      <w:r>
        <w:rPr>
          <w:rFonts w:hint="eastAsia"/>
        </w:rPr>
        <w:t>数智赋能学科内容统整的实践困境与优化路径研究</w:t>
      </w:r>
    </w:p>
    <w:p w14:paraId="5B49355A">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20"/>
        <w:textAlignment w:val="baseline"/>
        <w:rPr>
          <w:rFonts w:hint="eastAsia"/>
        </w:rPr>
      </w:pPr>
      <w:r>
        <w:rPr>
          <w:rFonts w:hint="eastAsia"/>
        </w:rPr>
        <w:t>人工智能技术赋能科学学科项目式学习的实践研究</w:t>
      </w:r>
    </w:p>
    <w:p w14:paraId="5788A79E">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20"/>
        <w:textAlignment w:val="baseline"/>
        <w:rPr>
          <w:rFonts w:hint="eastAsia"/>
        </w:rPr>
      </w:pPr>
      <w:r>
        <w:rPr>
          <w:rFonts w:hint="eastAsia"/>
        </w:rPr>
        <w:t>......</w:t>
      </w:r>
    </w:p>
    <w:p w14:paraId="6D85C909">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20"/>
        <w:textAlignment w:val="baseline"/>
        <w:rPr>
          <w:rFonts w:hint="eastAsia"/>
          <w:b/>
          <w:bCs/>
        </w:rPr>
      </w:pPr>
      <w:r>
        <w:rPr>
          <w:rFonts w:hint="eastAsia"/>
          <w:b/>
          <w:bCs/>
        </w:rPr>
        <w:t>（2）数智赋能的跨学科主题活动的研究</w:t>
      </w:r>
    </w:p>
    <w:p w14:paraId="77F8317D">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20"/>
        <w:textAlignment w:val="baseline"/>
        <w:rPr>
          <w:rFonts w:hint="eastAsia"/>
        </w:rPr>
      </w:pPr>
      <w:r>
        <w:rPr>
          <w:rFonts w:hint="eastAsia"/>
        </w:rPr>
        <w:t>人工智能技术支持下的跨学科主题项目式学习设计与实践</w:t>
      </w:r>
    </w:p>
    <w:p w14:paraId="7C18F70D">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20"/>
        <w:textAlignment w:val="baseline"/>
        <w:rPr>
          <w:rFonts w:hint="eastAsia"/>
        </w:rPr>
      </w:pPr>
      <w:r>
        <w:rPr>
          <w:rFonts w:hint="eastAsia"/>
        </w:rPr>
        <w:t>人工智能技术支持下的项目式学习校本课程设计与实践</w:t>
      </w:r>
    </w:p>
    <w:p w14:paraId="5F9126E1">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20"/>
        <w:textAlignment w:val="baseline"/>
        <w:rPr>
          <w:rFonts w:hint="eastAsia"/>
        </w:rPr>
      </w:pPr>
      <w:r>
        <w:rPr>
          <w:rFonts w:hint="eastAsia"/>
        </w:rPr>
        <w:t>基于人工智能技术的STEM课程开发与教学实践研究</w:t>
      </w:r>
    </w:p>
    <w:p w14:paraId="01726BE1">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20"/>
        <w:textAlignment w:val="baseline"/>
        <w:rPr>
          <w:rFonts w:hint="eastAsia"/>
        </w:rPr>
      </w:pPr>
      <w:r>
        <w:rPr>
          <w:rFonts w:hint="eastAsia"/>
        </w:rPr>
        <w:t>数智工具赋能跨学科主题活动的课程开发与资源整合研究</w:t>
      </w:r>
    </w:p>
    <w:p w14:paraId="6E18603D">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20"/>
        <w:textAlignment w:val="baseline"/>
        <w:rPr>
          <w:rFonts w:hint="eastAsia"/>
        </w:rPr>
      </w:pPr>
      <w:r>
        <w:rPr>
          <w:rFonts w:hint="eastAsia"/>
        </w:rPr>
        <w:t>数智赋能跨学科主题活动的实践困境与优化路径研究</w:t>
      </w:r>
    </w:p>
    <w:p w14:paraId="5313A3F0">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20"/>
        <w:textAlignment w:val="baseline"/>
        <w:rPr>
          <w:rFonts w:hint="eastAsia"/>
        </w:rPr>
      </w:pPr>
      <w:r>
        <w:rPr>
          <w:rFonts w:hint="eastAsia"/>
        </w:rPr>
        <w:t>人工智能工具融合中小学科学与工程跨学科教学模式的优化机制研究</w:t>
      </w:r>
    </w:p>
    <w:p w14:paraId="5F8C8E75">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20"/>
        <w:textAlignment w:val="baseline"/>
        <w:rPr>
          <w:rFonts w:hint="eastAsia"/>
        </w:rPr>
      </w:pPr>
      <w:r>
        <w:rPr>
          <w:rFonts w:hint="eastAsia"/>
        </w:rPr>
        <w:t>人工智能支持下科学与工程跨学科教学模式的效能评估研究</w:t>
      </w:r>
    </w:p>
    <w:p w14:paraId="618633DC">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20"/>
        <w:textAlignment w:val="baseline"/>
        <w:rPr>
          <w:rFonts w:hint="eastAsia"/>
        </w:rPr>
      </w:pPr>
      <w:r>
        <w:rPr>
          <w:rFonts w:hint="eastAsia"/>
        </w:rPr>
        <w:t>......</w:t>
      </w:r>
    </w:p>
    <w:p w14:paraId="2DB130F4">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20"/>
        <w:textAlignment w:val="baseline"/>
        <w:rPr>
          <w:rFonts w:hint="eastAsia"/>
          <w:b/>
          <w:bCs/>
        </w:rPr>
      </w:pPr>
      <w:r>
        <w:rPr>
          <w:rFonts w:hint="eastAsia"/>
          <w:b/>
          <w:bCs/>
        </w:rPr>
        <w:t>（3）人工智能支持下的中小学科学实践项目设计与实施研究</w:t>
      </w:r>
    </w:p>
    <w:p w14:paraId="1B828A73">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20"/>
        <w:textAlignment w:val="baseline"/>
        <w:rPr>
          <w:rFonts w:hint="eastAsia"/>
        </w:rPr>
      </w:pPr>
      <w:r>
        <w:rPr>
          <w:rFonts w:hint="eastAsia"/>
        </w:rPr>
        <w:t>人机协同视角下中小学科学探究项目中批判性思维的培养机制与效果研究</w:t>
      </w:r>
    </w:p>
    <w:p w14:paraId="32DBD551">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20"/>
        <w:textAlignment w:val="baseline"/>
        <w:rPr>
          <w:rFonts w:hint="eastAsia"/>
        </w:rPr>
      </w:pPr>
      <w:r>
        <w:rPr>
          <w:rFonts w:hint="eastAsia"/>
        </w:rPr>
        <w:t>人工智能赋能中小学科学探究项目的设计框架与实践路径研究</w:t>
      </w:r>
    </w:p>
    <w:p w14:paraId="75DB848C">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20"/>
        <w:textAlignment w:val="baseline"/>
        <w:rPr>
          <w:rFonts w:hint="eastAsia"/>
        </w:rPr>
      </w:pPr>
      <w:r>
        <w:rPr>
          <w:rFonts w:hint="eastAsia"/>
        </w:rPr>
        <w:t>人工智能支持下的中小学跨学科科学探究项目的设计与实效性研究</w:t>
      </w:r>
    </w:p>
    <w:p w14:paraId="3ACFE0E4">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20"/>
        <w:textAlignment w:val="baseline"/>
        <w:rPr>
          <w:rFonts w:hint="eastAsia"/>
        </w:rPr>
      </w:pPr>
      <w:r>
        <w:rPr>
          <w:rFonts w:hint="eastAsia"/>
        </w:rPr>
        <w:t>人工智能驱动下中小学科学探究项目的实施路径与优化机制研究</w:t>
      </w:r>
    </w:p>
    <w:p w14:paraId="453BDF5C">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20"/>
        <w:textAlignment w:val="baseline"/>
        <w:rPr>
          <w:rFonts w:hint="eastAsia"/>
        </w:rPr>
      </w:pPr>
      <w:r>
        <w:rPr>
          <w:rFonts w:hint="eastAsia"/>
        </w:rPr>
        <w:t>......</w:t>
      </w:r>
    </w:p>
    <w:p w14:paraId="305CB263">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20"/>
        <w:textAlignment w:val="baseline"/>
        <w:rPr>
          <w:rFonts w:hint="eastAsia"/>
          <w:b/>
          <w:bCs/>
        </w:rPr>
      </w:pPr>
      <w:r>
        <w:rPr>
          <w:rFonts w:hint="eastAsia"/>
          <w:b/>
          <w:bCs/>
        </w:rPr>
        <w:t>（4）智能技术赋能科学论证能力发展的影响机制与实践路径研究</w:t>
      </w:r>
    </w:p>
    <w:p w14:paraId="4D12E0B0">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20"/>
        <w:textAlignment w:val="baseline"/>
        <w:rPr>
          <w:rFonts w:hint="eastAsia"/>
        </w:rPr>
      </w:pPr>
      <w:r>
        <w:rPr>
          <w:rFonts w:hint="eastAsia"/>
        </w:rPr>
        <w:t>基于智能反馈的科学论证能力分层培养实践路径研究</w:t>
      </w:r>
    </w:p>
    <w:p w14:paraId="7182C33C">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20"/>
        <w:textAlignment w:val="baseline"/>
        <w:rPr>
          <w:rFonts w:hint="eastAsia"/>
        </w:rPr>
      </w:pPr>
      <w:r>
        <w:rPr>
          <w:rFonts w:hint="eastAsia"/>
        </w:rPr>
        <w:t>智能技术支持下科学论证能力发展的评价机制与优化路径研究</w:t>
      </w:r>
    </w:p>
    <w:p w14:paraId="3287A6CD">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20"/>
        <w:textAlignment w:val="baseline"/>
        <w:rPr>
          <w:rFonts w:hint="eastAsia"/>
        </w:rPr>
      </w:pPr>
      <w:r>
        <w:rPr>
          <w:rFonts w:hint="eastAsia"/>
        </w:rPr>
        <w:t>智能技术驱动下科学论证能力发展的过程模型与作用机制研究</w:t>
      </w:r>
    </w:p>
    <w:p w14:paraId="59755CA8">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20"/>
        <w:textAlignment w:val="baseline"/>
        <w:rPr>
          <w:rFonts w:hint="eastAsia"/>
        </w:rPr>
      </w:pPr>
      <w:r>
        <w:rPr>
          <w:rFonts w:hint="eastAsia"/>
        </w:rPr>
        <w:t>......</w:t>
      </w:r>
    </w:p>
    <w:p w14:paraId="1A32089C">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20"/>
        <w:textAlignment w:val="baseline"/>
        <w:rPr>
          <w:rFonts w:hint="eastAsia"/>
          <w:b/>
          <w:bCs/>
        </w:rPr>
      </w:pPr>
      <w:r>
        <w:rPr>
          <w:rFonts w:hint="eastAsia"/>
          <w:b/>
          <w:bCs/>
        </w:rPr>
        <w:t>（5）数智赋能区域科学教育生态的协同推进机制研究</w:t>
      </w:r>
    </w:p>
    <w:p w14:paraId="6010E262">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20"/>
        <w:textAlignment w:val="baseline"/>
        <w:rPr>
          <w:rFonts w:hint="eastAsia"/>
        </w:rPr>
      </w:pPr>
      <w:r>
        <w:rPr>
          <w:rFonts w:hint="eastAsia"/>
        </w:rPr>
        <w:t>数智平台支撑的区域科学教育资源共享与协同教研机制研究</w:t>
      </w:r>
    </w:p>
    <w:p w14:paraId="2CA233E5">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20"/>
        <w:textAlignment w:val="baseline"/>
        <w:rPr>
          <w:rFonts w:hint="eastAsia"/>
        </w:rPr>
      </w:pPr>
      <w:r>
        <w:rPr>
          <w:rFonts w:hint="eastAsia"/>
        </w:rPr>
        <w:t>基于大数据的区域科学教育质量监测与精准赋能体系构建研究</w:t>
      </w:r>
    </w:p>
    <w:p w14:paraId="5C3DF999">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20"/>
        <w:textAlignment w:val="baseline"/>
        <w:rPr>
          <w:rFonts w:hint="eastAsia"/>
        </w:rPr>
      </w:pPr>
      <w:r>
        <w:rPr>
          <w:rFonts w:hint="eastAsia"/>
        </w:rPr>
        <w:t>数智技术促进区域科学探究项目共同体建设的实践路径研究</w:t>
      </w:r>
    </w:p>
    <w:p w14:paraId="487183BF">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20"/>
        <w:textAlignment w:val="baseline"/>
        <w:rPr>
          <w:rFonts w:hint="eastAsia"/>
        </w:rPr>
      </w:pPr>
      <w:r>
        <w:rPr>
          <w:rFonts w:hint="eastAsia"/>
        </w:rPr>
        <w:t>多元主体协同的数智科学教育创新实践空间建设与运行模式研究</w:t>
      </w:r>
    </w:p>
    <w:p w14:paraId="5EDFDD0F">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20"/>
        <w:textAlignment w:val="baseline"/>
        <w:rPr>
          <w:rFonts w:hint="eastAsia"/>
        </w:rPr>
      </w:pPr>
      <w:r>
        <w:rPr>
          <w:rFonts w:hint="eastAsia"/>
        </w:rPr>
        <w:t>......</w:t>
      </w:r>
    </w:p>
    <w:p w14:paraId="559F55F9">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20"/>
        <w:textAlignment w:val="baseline"/>
        <w:rPr>
          <w:rFonts w:hint="eastAsia"/>
          <w:b/>
          <w:bCs/>
        </w:rPr>
      </w:pPr>
      <w:r>
        <w:rPr>
          <w:rFonts w:hint="eastAsia"/>
          <w:b/>
          <w:bCs/>
        </w:rPr>
        <w:t>（6）人工智能赋能教育评价的设计与研究</w:t>
      </w:r>
    </w:p>
    <w:p w14:paraId="707AB808">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20"/>
        <w:textAlignment w:val="baseline"/>
        <w:rPr>
          <w:rFonts w:hint="eastAsia"/>
        </w:rPr>
      </w:pPr>
      <w:r>
        <w:rPr>
          <w:rFonts w:hint="eastAsia"/>
        </w:rPr>
        <w:t>人工智能赋能教育评价的公平性与伦理规制研究</w:t>
      </w:r>
    </w:p>
    <w:p w14:paraId="5AC68207">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20"/>
        <w:textAlignment w:val="baseline"/>
        <w:rPr>
          <w:rFonts w:hint="eastAsia"/>
        </w:rPr>
      </w:pPr>
      <w:r>
        <w:rPr>
          <w:rFonts w:hint="eastAsia"/>
        </w:rPr>
        <w:t>人工智能赋能教育评价的实践路径与效能验证研究</w:t>
      </w:r>
    </w:p>
    <w:p w14:paraId="6BE40636">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20"/>
        <w:textAlignment w:val="baseline"/>
        <w:rPr>
          <w:rFonts w:hint="eastAsia"/>
        </w:rPr>
      </w:pPr>
      <w:r>
        <w:rPr>
          <w:rFonts w:hint="eastAsia"/>
        </w:rPr>
        <w:t>教育评价数智化转型的实践进路与循证研究</w:t>
      </w:r>
    </w:p>
    <w:p w14:paraId="3A28EB41">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20"/>
        <w:textAlignment w:val="baseline"/>
        <w:rPr>
          <w:rFonts w:hint="eastAsia"/>
        </w:rPr>
      </w:pPr>
      <w:r>
        <w:rPr>
          <w:rFonts w:hint="eastAsia"/>
        </w:rPr>
        <w:t>人工智能支持下的过程性评价设计与实证研究</w:t>
      </w:r>
    </w:p>
    <w:p w14:paraId="5CDFB045">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20"/>
        <w:textAlignment w:val="baseline"/>
        <w:rPr>
          <w:rFonts w:hint="eastAsia"/>
        </w:rPr>
      </w:pPr>
      <w:r>
        <w:rPr>
          <w:rFonts w:hint="eastAsia"/>
        </w:rPr>
        <w:t>个性化教育评价反馈系统的智能设计与优化研究</w:t>
      </w:r>
    </w:p>
    <w:p w14:paraId="19DEB7FD">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20"/>
        <w:textAlignment w:val="baseline"/>
        <w:rPr>
          <w:rFonts w:hint="eastAsia"/>
        </w:rPr>
      </w:pPr>
      <w:r>
        <w:rPr>
          <w:rFonts w:hint="eastAsia"/>
        </w:rPr>
        <w:t>......</w:t>
      </w:r>
    </w:p>
    <w:p w14:paraId="5DF46687">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20"/>
        <w:textAlignment w:val="baseline"/>
        <w:rPr>
          <w:rFonts w:hint="eastAsia"/>
          <w:b/>
          <w:bCs/>
        </w:rPr>
      </w:pPr>
      <w:r>
        <w:rPr>
          <w:rFonts w:hint="eastAsia"/>
          <w:b/>
          <w:bCs/>
        </w:rPr>
        <w:t>（7）数智赋能证据导向的项目式学习促进教师专业发展研究</w:t>
      </w:r>
    </w:p>
    <w:p w14:paraId="61B3027E">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20"/>
        <w:textAlignment w:val="baseline"/>
        <w:rPr>
          <w:rFonts w:hint="eastAsia"/>
        </w:rPr>
      </w:pPr>
      <w:r>
        <w:rPr>
          <w:rFonts w:hint="eastAsia"/>
        </w:rPr>
        <w:t>人工智能支持下证据导向的项目式学习对教师学科能力发展的作用路径与效能研究</w:t>
      </w:r>
    </w:p>
    <w:p w14:paraId="0018B120">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20"/>
        <w:textAlignment w:val="baseline"/>
        <w:rPr>
          <w:rFonts w:hint="eastAsia"/>
        </w:rPr>
      </w:pPr>
      <w:r>
        <w:rPr>
          <w:rFonts w:hint="eastAsia"/>
        </w:rPr>
        <w:t>基于人工智能的证据导向的项目式学习与教师学科能力发展的关联性研究</w:t>
      </w:r>
    </w:p>
    <w:p w14:paraId="0D5DFFDE">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20"/>
        <w:textAlignment w:val="baseline"/>
        <w:rPr>
          <w:rFonts w:hint="eastAsia"/>
        </w:rPr>
      </w:pPr>
      <w:r>
        <w:rPr>
          <w:rFonts w:hint="eastAsia"/>
        </w:rPr>
        <w:t>证据导向的项目式学习中人工智能工具应用与教师角色转型的实证研究</w:t>
      </w:r>
    </w:p>
    <w:p w14:paraId="7DE34808">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20"/>
        <w:textAlignment w:val="baseline"/>
        <w:rPr>
          <w:rFonts w:hint="eastAsia"/>
        </w:rPr>
      </w:pPr>
      <w:r>
        <w:rPr>
          <w:rFonts w:hint="eastAsia"/>
        </w:rPr>
        <w:t>教师在人工智能赋能证据导向的项目式学习中的学科能力发展现状、问题及对策实证研究</w:t>
      </w:r>
    </w:p>
    <w:p w14:paraId="5556300D">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20"/>
        <w:textAlignment w:val="baseline"/>
        <w:rPr>
          <w:rFonts w:hint="eastAsia"/>
        </w:rPr>
      </w:pPr>
      <w:r>
        <w:rPr>
          <w:rFonts w:hint="eastAsia"/>
        </w:rPr>
        <w:t>不同人工智能工具在证据导向的项目式学习中对教师专业发展的影响研究</w:t>
      </w:r>
    </w:p>
    <w:p w14:paraId="0FB54D0E">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20"/>
        <w:textAlignment w:val="baseline"/>
        <w:rPr>
          <w:rFonts w:hint="eastAsia"/>
        </w:rPr>
      </w:pPr>
      <w:r>
        <w:rPr>
          <w:rFonts w:hint="eastAsia"/>
        </w:rPr>
        <w:t>智能时代背景下教师在证据导向项目式学习中的角色转变与适应性研究</w:t>
      </w:r>
    </w:p>
    <w:p w14:paraId="630D8B22">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20"/>
        <w:textAlignment w:val="baseline"/>
        <w:rPr>
          <w:rFonts w:hint="eastAsia"/>
        </w:rPr>
      </w:pPr>
      <w:r>
        <w:rPr>
          <w:rFonts w:hint="eastAsia"/>
        </w:rPr>
        <w:t>......</w:t>
      </w:r>
    </w:p>
    <w:p w14:paraId="373C6CDD">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20"/>
        <w:textAlignment w:val="baseline"/>
        <w:rPr>
          <w:rFonts w:hint="eastAsia"/>
          <w:b/>
          <w:bCs/>
        </w:rPr>
      </w:pPr>
      <w:r>
        <w:rPr>
          <w:rFonts w:hint="eastAsia"/>
          <w:b/>
          <w:bCs/>
        </w:rPr>
        <w:t>（8）基于证据导向的项目式学习系统（EPBL平台）的研究</w:t>
      </w:r>
    </w:p>
    <w:p w14:paraId="161A0AD9">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20"/>
        <w:textAlignment w:val="baseline"/>
        <w:rPr>
          <w:rFonts w:hint="eastAsia"/>
        </w:rPr>
      </w:pPr>
      <w:r>
        <w:rPr>
          <w:rFonts w:hint="eastAsia"/>
        </w:rPr>
        <w:t>基于EPBL平台的证据导向项目式学习设计与实践</w:t>
      </w:r>
    </w:p>
    <w:p w14:paraId="19A23157">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20"/>
        <w:textAlignment w:val="baseline"/>
        <w:rPr>
          <w:rFonts w:hint="eastAsia"/>
        </w:rPr>
      </w:pPr>
      <w:r>
        <w:rPr>
          <w:rFonts w:hint="eastAsia"/>
        </w:rPr>
        <w:t>基于EPBL平台的教师循证实践能力培养</w:t>
      </w:r>
    </w:p>
    <w:p w14:paraId="075C37DD">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20"/>
        <w:textAlignment w:val="baseline"/>
        <w:rPr>
          <w:rFonts w:hint="eastAsia"/>
        </w:rPr>
      </w:pPr>
      <w:r>
        <w:rPr>
          <w:rFonts w:hint="eastAsia"/>
        </w:rPr>
        <w:t>教师在EPBL平台中利用智能技术促进学生核心素养发展的策略研究</w:t>
      </w:r>
    </w:p>
    <w:p w14:paraId="71E43167">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20"/>
        <w:textAlignment w:val="baseline"/>
        <w:rPr>
          <w:rFonts w:hint="eastAsia"/>
        </w:rPr>
      </w:pPr>
      <w:r>
        <w:rPr>
          <w:rFonts w:hint="eastAsia"/>
        </w:rPr>
        <w:t>基于EPBL平台的科学探究项目式学习设计与实施</w:t>
      </w:r>
    </w:p>
    <w:p w14:paraId="45909298">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20"/>
        <w:textAlignment w:val="baseline"/>
        <w:rPr>
          <w:rFonts w:hint="eastAsia"/>
        </w:rPr>
      </w:pPr>
      <w:r>
        <w:rPr>
          <w:rFonts w:hint="eastAsia"/>
        </w:rPr>
        <w:t>EPBL平台下的项目式学习与学生创新能力培养的关联研究</w:t>
      </w:r>
    </w:p>
    <w:p w14:paraId="2C0074C3">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20"/>
        <w:textAlignment w:val="baseline"/>
        <w:rPr>
          <w:rFonts w:hint="eastAsia"/>
        </w:rPr>
      </w:pPr>
      <w:r>
        <w:rPr>
          <w:rFonts w:hint="eastAsia"/>
        </w:rPr>
        <w:t>EPBL平台赋能学生证据素养与能力发展的实证研究</w:t>
      </w:r>
    </w:p>
    <w:p w14:paraId="2A8D7E56">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20"/>
        <w:textAlignment w:val="baseline"/>
      </w:pPr>
      <w:r>
        <w:rPr>
          <w:rFonts w:hint="eastAsia"/>
        </w:rPr>
        <w:t>......</w:t>
      </w:r>
    </w:p>
    <w:p w14:paraId="7E317410">
      <w:pPr>
        <w:pStyle w:val="6"/>
        <w:spacing w:before="117" w:line="226" w:lineRule="auto"/>
        <w:ind w:left="27"/>
        <w:outlineLvl w:val="0"/>
        <w:rPr>
          <w:sz w:val="31"/>
          <w:szCs w:val="31"/>
        </w:rPr>
      </w:pPr>
      <w:r>
        <w:rPr>
          <w:b/>
          <w:bCs/>
          <w:spacing w:val="-10"/>
          <w:sz w:val="31"/>
          <w:szCs w:val="31"/>
        </w:rPr>
        <w:t>六、课题实施</w:t>
      </w:r>
    </w:p>
    <w:p w14:paraId="62C4CDDE">
      <w:pPr>
        <w:spacing w:before="149" w:line="194" w:lineRule="auto"/>
        <w:ind w:left="28"/>
        <w:outlineLvl w:val="1"/>
        <w:rPr>
          <w:rFonts w:ascii="微软雅黑" w:hAnsi="微软雅黑" w:eastAsia="微软雅黑" w:cs="微软雅黑"/>
          <w:sz w:val="21"/>
          <w:szCs w:val="21"/>
        </w:rPr>
      </w:pPr>
      <w:r>
        <w:rPr>
          <w:rFonts w:ascii="Microsoft JhengHei" w:hAnsi="Microsoft JhengHei" w:eastAsia="Microsoft JhengHei" w:cs="Microsoft JhengHei"/>
          <w:b/>
          <w:bCs/>
          <w:spacing w:val="-3"/>
          <w:sz w:val="18"/>
          <w:szCs w:val="18"/>
        </w:rPr>
        <w:t>1.</w:t>
      </w:r>
      <w:r>
        <w:rPr>
          <w:rFonts w:ascii="Microsoft JhengHei" w:hAnsi="Microsoft JhengHei" w:eastAsia="Microsoft JhengHei" w:cs="Microsoft JhengHei"/>
          <w:b/>
          <w:bCs/>
          <w:spacing w:val="-19"/>
          <w:sz w:val="18"/>
          <w:szCs w:val="18"/>
        </w:rPr>
        <w:t xml:space="preserve"> </w:t>
      </w:r>
      <w:r>
        <w:rPr>
          <w:rFonts w:ascii="微软雅黑" w:hAnsi="微软雅黑" w:eastAsia="微软雅黑" w:cs="微软雅黑"/>
          <w:b/>
          <w:bCs/>
          <w:spacing w:val="-3"/>
          <w:sz w:val="21"/>
          <w:szCs w:val="21"/>
        </w:rPr>
        <w:t>课题实施与组织</w:t>
      </w:r>
    </w:p>
    <w:p w14:paraId="395EB87D">
      <w:pPr>
        <w:spacing w:line="194" w:lineRule="auto"/>
        <w:rPr>
          <w:position w:val="-62"/>
        </w:rPr>
      </w:pPr>
      <w:r>
        <w:rPr>
          <w:rFonts w:hint="eastAsia" w:eastAsia="宋体"/>
          <w:position w:val="-62"/>
          <w:lang w:val="en-US" w:eastAsia="zh-CN"/>
        </w:rPr>
        <w:t xml:space="preserve">                          </w:t>
      </w:r>
      <w:r>
        <w:rPr>
          <w:position w:val="-62"/>
        </w:rPr>
        <w:drawing>
          <wp:inline distT="0" distB="0" distL="0" distR="0">
            <wp:extent cx="3612515" cy="2226945"/>
            <wp:effectExtent l="0" t="0" r="6985" b="1905"/>
            <wp:docPr id="3" name="IM 2"/>
            <wp:cNvGraphicFramePr/>
            <a:graphic xmlns:a="http://schemas.openxmlformats.org/drawingml/2006/main">
              <a:graphicData uri="http://schemas.openxmlformats.org/drawingml/2006/picture">
                <pic:pic xmlns:pic="http://schemas.openxmlformats.org/drawingml/2006/picture">
                  <pic:nvPicPr>
                    <pic:cNvPr id="3" name="IM 2"/>
                    <pic:cNvPicPr/>
                  </pic:nvPicPr>
                  <pic:blipFill>
                    <a:blip r:embed="rId6"/>
                    <a:stretch>
                      <a:fillRect/>
                    </a:stretch>
                  </pic:blipFill>
                  <pic:spPr>
                    <a:xfrm>
                      <a:off x="0" y="0"/>
                      <a:ext cx="3612515" cy="2226945"/>
                    </a:xfrm>
                    <a:prstGeom prst="rect">
                      <a:avLst/>
                    </a:prstGeom>
                  </pic:spPr>
                </pic:pic>
              </a:graphicData>
            </a:graphic>
          </wp:inline>
        </w:drawing>
      </w:r>
    </w:p>
    <w:p w14:paraId="5B8C3265">
      <w:pPr>
        <w:spacing w:line="194" w:lineRule="auto"/>
        <w:rPr>
          <w:position w:val="-62"/>
        </w:rPr>
      </w:pPr>
    </w:p>
    <w:p w14:paraId="3EE1427E">
      <w:pPr>
        <w:pStyle w:val="6"/>
        <w:spacing w:before="68" w:line="221" w:lineRule="auto"/>
        <w:ind w:left="3406"/>
        <w:rPr>
          <w:spacing w:val="-4"/>
        </w:rPr>
      </w:pPr>
      <w:r>
        <w:rPr>
          <w:spacing w:val="-4"/>
        </w:rPr>
        <w:t>图1 课题组织结构示意图</w:t>
      </w:r>
    </w:p>
    <w:p w14:paraId="17A26F18">
      <w:pPr>
        <w:pStyle w:val="3"/>
        <w:keepNext/>
        <w:keepLines/>
        <w:pageBreakBefore w:val="0"/>
        <w:widowControl/>
        <w:kinsoku w:val="0"/>
        <w:wordWrap/>
        <w:overflowPunct/>
        <w:topLinePunct w:val="0"/>
        <w:autoSpaceDE w:val="0"/>
        <w:autoSpaceDN w:val="0"/>
        <w:bidi w:val="0"/>
        <w:adjustRightInd w:val="0"/>
        <w:snapToGrid w:val="0"/>
        <w:spacing w:before="0" w:after="0" w:line="413" w:lineRule="auto"/>
        <w:textAlignment w:val="baseline"/>
        <w:rPr>
          <w:rFonts w:ascii="微软雅黑" w:hAnsi="微软雅黑" w:eastAsia="微软雅黑" w:cs="微软雅黑"/>
          <w:b/>
          <w:bCs/>
          <w:snapToGrid w:val="0"/>
          <w:color w:val="000000"/>
          <w:spacing w:val="-3"/>
          <w:kern w:val="0"/>
          <w:sz w:val="21"/>
          <w:szCs w:val="21"/>
          <w:lang w:val="en-US" w:eastAsia="en-US" w:bidi="ar-SA"/>
        </w:rPr>
      </w:pPr>
      <w:r>
        <w:rPr>
          <w:rFonts w:ascii="微软雅黑" w:hAnsi="微软雅黑" w:eastAsia="微软雅黑" w:cs="微软雅黑"/>
          <w:b/>
          <w:bCs/>
          <w:snapToGrid w:val="0"/>
          <w:color w:val="000000"/>
          <w:spacing w:val="-3"/>
          <w:kern w:val="0"/>
          <w:sz w:val="21"/>
          <w:szCs w:val="21"/>
          <w:lang w:val="en-US" w:eastAsia="en-US" w:bidi="ar-SA"/>
        </w:rPr>
        <w:t>2. 课题实施形式</w:t>
      </w:r>
    </w:p>
    <w:p w14:paraId="2F386A5D">
      <w:pPr>
        <w:spacing w:line="304" w:lineRule="auto"/>
        <w:rPr>
          <w:rFonts w:ascii="Arial"/>
          <w:sz w:val="21"/>
        </w:rPr>
      </w:pPr>
    </w:p>
    <w:p w14:paraId="5A89BCFE">
      <w:pPr>
        <w:spacing w:line="1128" w:lineRule="exact"/>
      </w:pPr>
      <w:r>
        <w:rPr>
          <w:position w:val="-22"/>
        </w:rPr>
        <w:drawing>
          <wp:inline distT="0" distB="0" distL="0" distR="0">
            <wp:extent cx="5211445" cy="715645"/>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7"/>
                    <a:stretch>
                      <a:fillRect/>
                    </a:stretch>
                  </pic:blipFill>
                  <pic:spPr>
                    <a:xfrm>
                      <a:off x="0" y="0"/>
                      <a:ext cx="5211571" cy="716279"/>
                    </a:xfrm>
                    <a:prstGeom prst="rect">
                      <a:avLst/>
                    </a:prstGeom>
                  </pic:spPr>
                </pic:pic>
              </a:graphicData>
            </a:graphic>
          </wp:inline>
        </w:drawing>
      </w:r>
    </w:p>
    <w:p w14:paraId="79CCDAF3">
      <w:pPr>
        <w:pStyle w:val="6"/>
        <w:spacing w:before="41" w:line="213" w:lineRule="auto"/>
        <w:ind w:left="3519"/>
      </w:pPr>
      <w:r>
        <w:rPr>
          <w:spacing w:val="-4"/>
        </w:rPr>
        <w:t>图2 课题实施流程</w:t>
      </w:r>
    </w:p>
    <w:p w14:paraId="5E4E43E6">
      <w:pPr>
        <w:pStyle w:val="6"/>
        <w:spacing w:line="481" w:lineRule="exact"/>
        <w:ind w:left="149"/>
      </w:pPr>
      <w:r>
        <w:rPr>
          <w:spacing w:val="-1"/>
          <w:position w:val="7"/>
        </w:rPr>
        <w:t>课题申报指定发送邮箱：</w:t>
      </w:r>
      <w:r>
        <w:rPr>
          <w:rFonts w:hint="eastAsia"/>
        </w:rPr>
        <w:t>ktsb@bnu.edu.cn</w:t>
      </w:r>
    </w:p>
    <w:p w14:paraId="2ECFB84C">
      <w:pPr>
        <w:pStyle w:val="6"/>
        <w:keepNext w:val="0"/>
        <w:keepLines w:val="0"/>
        <w:pageBreakBefore w:val="0"/>
        <w:widowControl/>
        <w:kinsoku w:val="0"/>
        <w:wordWrap w:val="0"/>
        <w:overflowPunct/>
        <w:topLinePunct w:val="0"/>
        <w:autoSpaceDE w:val="0"/>
        <w:autoSpaceDN w:val="0"/>
        <w:bidi w:val="0"/>
        <w:adjustRightInd w:val="0"/>
        <w:snapToGrid w:val="0"/>
        <w:spacing w:before="1" w:line="336" w:lineRule="auto"/>
        <w:ind w:left="153" w:hanging="6"/>
        <w:textAlignment w:val="baseline"/>
        <w:rPr>
          <w:spacing w:val="-1"/>
        </w:rPr>
      </w:pPr>
      <w:r>
        <w:rPr>
          <w:spacing w:val="-1"/>
        </w:rPr>
        <w:t>课题实施与活动公示网站：</w:t>
      </w:r>
      <w:r>
        <w:rPr>
          <w:rFonts w:hint="eastAsia" w:ascii="宋体" w:hAnsi="宋体" w:eastAsia="宋体" w:cs="宋体"/>
          <w:i w:val="0"/>
          <w:iCs w:val="0"/>
          <w:caps w:val="0"/>
          <w:color w:val="333333"/>
          <w:spacing w:val="0"/>
          <w:sz w:val="21"/>
          <w:szCs w:val="21"/>
          <w:shd w:val="clear" w:fill="FFFFFF"/>
        </w:rPr>
        <w:t>https://aic-fe.bnu.edu.cn/index.html</w:t>
      </w:r>
      <w:bookmarkStart w:id="0" w:name="_GoBack"/>
      <w:bookmarkEnd w:id="0"/>
    </w:p>
    <w:p w14:paraId="38052F20">
      <w:pPr>
        <w:pStyle w:val="6"/>
        <w:keepNext w:val="0"/>
        <w:keepLines w:val="0"/>
        <w:pageBreakBefore w:val="0"/>
        <w:widowControl/>
        <w:kinsoku w:val="0"/>
        <w:wordWrap w:val="0"/>
        <w:overflowPunct/>
        <w:topLinePunct w:val="0"/>
        <w:autoSpaceDE w:val="0"/>
        <w:autoSpaceDN w:val="0"/>
        <w:bidi w:val="0"/>
        <w:adjustRightInd w:val="0"/>
        <w:snapToGrid w:val="0"/>
        <w:spacing w:before="1" w:line="336" w:lineRule="auto"/>
        <w:ind w:left="153" w:hanging="6"/>
        <w:textAlignment w:val="baseline"/>
      </w:pPr>
      <w:r>
        <w:rPr>
          <w:spacing w:val="-2"/>
        </w:rPr>
        <w:t>实施的主要形式是：</w:t>
      </w:r>
    </w:p>
    <w:p w14:paraId="2DBCF19E">
      <w:pPr>
        <w:pStyle w:val="6"/>
        <w:spacing w:before="279" w:line="220" w:lineRule="auto"/>
        <w:ind w:left="562"/>
      </w:pPr>
      <w:r>
        <w:rPr>
          <w:rFonts w:ascii="Wingdings" w:hAnsi="Wingdings" w:eastAsia="Wingdings" w:cs="Wingdings"/>
          <w:spacing w:val="-2"/>
        </w:rPr>
        <w:t>l</w:t>
      </w:r>
      <w:r>
        <w:rPr>
          <w:rFonts w:ascii="Wingdings" w:hAnsi="Wingdings" w:eastAsia="Wingdings" w:cs="Wingdings"/>
          <w:spacing w:val="77"/>
        </w:rPr>
        <w:t xml:space="preserve"> </w:t>
      </w:r>
      <w:r>
        <w:rPr>
          <w:spacing w:val="-2"/>
        </w:rPr>
        <w:t>总课题组根据试验区、试验学校选择申报的子课题，提供必要的技术和理论支持</w:t>
      </w:r>
    </w:p>
    <w:p w14:paraId="7A347198">
      <w:pPr>
        <w:pStyle w:val="6"/>
        <w:spacing w:before="201" w:line="220" w:lineRule="auto"/>
        <w:ind w:left="562"/>
      </w:pPr>
      <w:r>
        <w:rPr>
          <w:rFonts w:ascii="Wingdings" w:hAnsi="Wingdings" w:eastAsia="Wingdings" w:cs="Wingdings"/>
          <w:spacing w:val="-2"/>
        </w:rPr>
        <w:t>l</w:t>
      </w:r>
      <w:r>
        <w:rPr>
          <w:rFonts w:ascii="Wingdings" w:hAnsi="Wingdings" w:eastAsia="Wingdings" w:cs="Wingdings"/>
          <w:spacing w:val="74"/>
        </w:rPr>
        <w:t xml:space="preserve"> </w:t>
      </w:r>
      <w:r>
        <w:rPr>
          <w:spacing w:val="-2"/>
        </w:rPr>
        <w:t>总课题组每年举办一次全国研讨会，不定期开展区域性教研、培训等活动</w:t>
      </w:r>
    </w:p>
    <w:p w14:paraId="72B9D4DC">
      <w:pPr>
        <w:pStyle w:val="6"/>
        <w:spacing w:before="201" w:line="220" w:lineRule="auto"/>
        <w:ind w:left="562"/>
      </w:pPr>
      <w:r>
        <w:rPr>
          <w:rFonts w:ascii="Wingdings" w:hAnsi="Wingdings" w:eastAsia="Wingdings" w:cs="Wingdings"/>
          <w:spacing w:val="-2"/>
        </w:rPr>
        <w:t>l</w:t>
      </w:r>
      <w:r>
        <w:rPr>
          <w:rFonts w:ascii="Wingdings" w:hAnsi="Wingdings" w:eastAsia="Wingdings" w:cs="Wingdings"/>
          <w:spacing w:val="63"/>
        </w:rPr>
        <w:t xml:space="preserve"> </w:t>
      </w:r>
      <w:r>
        <w:rPr>
          <w:spacing w:val="-2"/>
        </w:rPr>
        <w:t>各省市课题组根据情况不定期举办地区研讨会</w:t>
      </w:r>
    </w:p>
    <w:p w14:paraId="5683C86C">
      <w:pPr>
        <w:pStyle w:val="6"/>
        <w:spacing w:before="203" w:line="221" w:lineRule="auto"/>
        <w:ind w:left="562"/>
      </w:pPr>
      <w:r>
        <w:rPr>
          <w:rFonts w:ascii="Wingdings" w:hAnsi="Wingdings" w:eastAsia="Wingdings" w:cs="Wingdings"/>
          <w:spacing w:val="-3"/>
        </w:rPr>
        <w:t>l</w:t>
      </w:r>
      <w:r>
        <w:rPr>
          <w:rFonts w:ascii="Wingdings" w:hAnsi="Wingdings" w:eastAsia="Wingdings" w:cs="Wingdings"/>
          <w:spacing w:val="78"/>
        </w:rPr>
        <w:t xml:space="preserve"> </w:t>
      </w:r>
      <w:r>
        <w:rPr>
          <w:spacing w:val="-3"/>
        </w:rPr>
        <w:t>各试验区、试验学校之间组织参观、交流</w:t>
      </w:r>
    </w:p>
    <w:p w14:paraId="33A2B7E8">
      <w:pPr>
        <w:pStyle w:val="6"/>
        <w:spacing w:before="197" w:line="221" w:lineRule="auto"/>
        <w:ind w:left="562"/>
      </w:pPr>
      <w:r>
        <w:rPr>
          <w:rFonts w:ascii="Wingdings" w:hAnsi="Wingdings" w:eastAsia="Wingdings" w:cs="Wingdings"/>
          <w:spacing w:val="-2"/>
        </w:rPr>
        <w:t>l</w:t>
      </w:r>
      <w:r>
        <w:rPr>
          <w:rFonts w:ascii="Wingdings" w:hAnsi="Wingdings" w:eastAsia="Wingdings" w:cs="Wingdings"/>
          <w:spacing w:val="72"/>
        </w:rPr>
        <w:t xml:space="preserve"> </w:t>
      </w:r>
      <w:r>
        <w:rPr>
          <w:spacing w:val="-2"/>
        </w:rPr>
        <w:t>充分发挥课题管理微信群、官方网站的作用，加强相互之间的交流</w:t>
      </w:r>
    </w:p>
    <w:p w14:paraId="2CC2126E">
      <w:pPr>
        <w:spacing w:before="208" w:line="194" w:lineRule="auto"/>
        <w:ind w:left="133"/>
        <w:outlineLvl w:val="1"/>
        <w:rPr>
          <w:rFonts w:ascii="Microsoft JhengHei" w:hAnsi="Microsoft JhengHei" w:eastAsia="Microsoft JhengHei" w:cs="Microsoft JhengHei"/>
          <w:sz w:val="21"/>
          <w:szCs w:val="21"/>
        </w:rPr>
      </w:pPr>
      <w:r>
        <w:rPr>
          <w:rFonts w:ascii="Microsoft JhengHei" w:hAnsi="Microsoft JhengHei" w:eastAsia="Microsoft JhengHei" w:cs="Microsoft JhengHei"/>
          <w:b/>
          <w:bCs/>
          <w:spacing w:val="-5"/>
          <w:sz w:val="18"/>
          <w:szCs w:val="18"/>
        </w:rPr>
        <w:t xml:space="preserve">3. </w:t>
      </w:r>
      <w:r>
        <w:rPr>
          <w:rFonts w:ascii="Microsoft JhengHei" w:hAnsi="Microsoft JhengHei" w:eastAsia="Microsoft JhengHei" w:cs="Microsoft JhengHei"/>
          <w:b/>
          <w:bCs/>
          <w:spacing w:val="-5"/>
          <w:sz w:val="21"/>
          <w:szCs w:val="21"/>
        </w:rPr>
        <w:t>课题实施周期</w:t>
      </w:r>
    </w:p>
    <w:p w14:paraId="6A60D893">
      <w:pPr>
        <w:pStyle w:val="6"/>
        <w:spacing w:before="277" w:line="220" w:lineRule="auto"/>
        <w:ind w:left="491"/>
        <w:rPr>
          <w:sz w:val="22"/>
          <w:szCs w:val="22"/>
        </w:rPr>
      </w:pPr>
      <w:r>
        <w:rPr>
          <w:spacing w:val="-1"/>
          <w:sz w:val="22"/>
          <w:szCs w:val="22"/>
        </w:rPr>
        <w:t>202</w:t>
      </w:r>
      <w:r>
        <w:rPr>
          <w:rFonts w:hint="eastAsia"/>
          <w:spacing w:val="-1"/>
          <w:sz w:val="22"/>
          <w:szCs w:val="22"/>
          <w:lang w:val="en-US" w:eastAsia="zh-CN"/>
        </w:rPr>
        <w:t>6</w:t>
      </w:r>
      <w:r>
        <w:rPr>
          <w:spacing w:val="-1"/>
          <w:sz w:val="22"/>
          <w:szCs w:val="22"/>
        </w:rPr>
        <w:t>年</w:t>
      </w:r>
      <w:r>
        <w:rPr>
          <w:rFonts w:hint="eastAsia"/>
          <w:spacing w:val="-1"/>
          <w:sz w:val="22"/>
          <w:szCs w:val="22"/>
          <w:lang w:val="en-US" w:eastAsia="zh-CN"/>
        </w:rPr>
        <w:t>4</w:t>
      </w:r>
      <w:r>
        <w:rPr>
          <w:spacing w:val="-1"/>
          <w:sz w:val="22"/>
          <w:szCs w:val="22"/>
        </w:rPr>
        <w:t>月-202</w:t>
      </w:r>
      <w:r>
        <w:rPr>
          <w:rFonts w:hint="eastAsia"/>
          <w:spacing w:val="-1"/>
          <w:sz w:val="22"/>
          <w:szCs w:val="22"/>
          <w:lang w:val="en-US" w:eastAsia="zh-CN"/>
        </w:rPr>
        <w:t>7</w:t>
      </w:r>
      <w:r>
        <w:rPr>
          <w:spacing w:val="-1"/>
          <w:sz w:val="22"/>
          <w:szCs w:val="22"/>
        </w:rPr>
        <w:t>年</w:t>
      </w:r>
      <w:r>
        <w:rPr>
          <w:rFonts w:hint="eastAsia"/>
          <w:spacing w:val="-1"/>
          <w:sz w:val="22"/>
          <w:szCs w:val="22"/>
          <w:lang w:val="en-US" w:eastAsia="zh-CN"/>
        </w:rPr>
        <w:t>12</w:t>
      </w:r>
      <w:r>
        <w:rPr>
          <w:spacing w:val="-1"/>
          <w:sz w:val="22"/>
          <w:szCs w:val="22"/>
        </w:rPr>
        <w:t>月</w:t>
      </w:r>
    </w:p>
    <w:p w14:paraId="2F53595F">
      <w:pPr>
        <w:spacing w:line="134" w:lineRule="exact"/>
      </w:pPr>
    </w:p>
    <w:tbl>
      <w:tblPr>
        <w:tblStyle w:val="12"/>
        <w:tblW w:w="7657" w:type="dxa"/>
        <w:tblInd w:w="49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766"/>
        <w:gridCol w:w="1729"/>
        <w:gridCol w:w="1842"/>
        <w:gridCol w:w="1320"/>
      </w:tblGrid>
      <w:tr w14:paraId="78E82E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6" w:hRule="atLeast"/>
        </w:trPr>
        <w:tc>
          <w:tcPr>
            <w:tcW w:w="2766" w:type="dxa"/>
            <w:vAlign w:val="top"/>
          </w:tcPr>
          <w:p w14:paraId="14EF5087">
            <w:pPr>
              <w:rPr>
                <w:rFonts w:ascii="Arial"/>
                <w:sz w:val="21"/>
              </w:rPr>
            </w:pPr>
          </w:p>
        </w:tc>
        <w:tc>
          <w:tcPr>
            <w:tcW w:w="1729" w:type="dxa"/>
            <w:vAlign w:val="top"/>
          </w:tcPr>
          <w:p w14:paraId="05542B57">
            <w:pPr>
              <w:pStyle w:val="13"/>
              <w:spacing w:before="33" w:line="221" w:lineRule="auto"/>
              <w:ind w:left="385"/>
            </w:pPr>
            <w:r>
              <w:rPr>
                <w:spacing w:val="-8"/>
              </w:rPr>
              <w:t>申报时间</w:t>
            </w:r>
          </w:p>
        </w:tc>
        <w:tc>
          <w:tcPr>
            <w:tcW w:w="1842" w:type="dxa"/>
            <w:vAlign w:val="top"/>
          </w:tcPr>
          <w:p w14:paraId="37A8F349">
            <w:pPr>
              <w:pStyle w:val="13"/>
              <w:spacing w:before="34" w:line="221" w:lineRule="auto"/>
              <w:ind w:left="206"/>
            </w:pPr>
            <w:r>
              <w:rPr>
                <w:spacing w:val="-1"/>
              </w:rPr>
              <w:t>立项公示时间</w:t>
            </w:r>
          </w:p>
        </w:tc>
        <w:tc>
          <w:tcPr>
            <w:tcW w:w="1320" w:type="dxa"/>
            <w:vAlign w:val="top"/>
          </w:tcPr>
          <w:p w14:paraId="7F3969FF">
            <w:pPr>
              <w:pStyle w:val="13"/>
              <w:spacing w:before="34" w:line="222" w:lineRule="auto"/>
              <w:ind w:left="159"/>
            </w:pPr>
            <w:r>
              <w:rPr>
                <w:spacing w:val="-3"/>
              </w:rPr>
              <w:t>结题时间</w:t>
            </w:r>
          </w:p>
        </w:tc>
      </w:tr>
      <w:tr w14:paraId="4AA85E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6" w:hRule="atLeast"/>
        </w:trPr>
        <w:tc>
          <w:tcPr>
            <w:tcW w:w="2766" w:type="dxa"/>
            <w:vAlign w:val="top"/>
          </w:tcPr>
          <w:p w14:paraId="713EB291">
            <w:pPr>
              <w:bidi w:val="0"/>
              <w:jc w:val="center"/>
              <w:rPr>
                <w:rFonts w:hint="eastAsia" w:ascii="宋体" w:hAnsi="宋体" w:eastAsia="宋体" w:cs="宋体"/>
              </w:rPr>
            </w:pPr>
            <w:r>
              <w:rPr>
                <w:rFonts w:hint="eastAsia" w:ascii="宋体" w:hAnsi="宋体" w:eastAsia="宋体" w:cs="宋体"/>
              </w:rPr>
              <w:t>第</w:t>
            </w:r>
            <w:r>
              <w:rPr>
                <w:rFonts w:hint="eastAsia" w:ascii="宋体" w:hAnsi="宋体" w:eastAsia="宋体" w:cs="宋体"/>
                <w:lang w:val="en-US" w:eastAsia="zh-CN"/>
              </w:rPr>
              <w:t>五</w:t>
            </w:r>
            <w:r>
              <w:rPr>
                <w:rFonts w:hint="eastAsia" w:ascii="宋体" w:hAnsi="宋体" w:eastAsia="宋体" w:cs="宋体"/>
              </w:rPr>
              <w:t>期（202</w:t>
            </w:r>
            <w:r>
              <w:rPr>
                <w:rFonts w:hint="eastAsia" w:ascii="宋体" w:hAnsi="宋体" w:eastAsia="宋体" w:cs="宋体"/>
                <w:lang w:val="en-US" w:eastAsia="zh-CN"/>
              </w:rPr>
              <w:t>6</w:t>
            </w:r>
            <w:r>
              <w:rPr>
                <w:rFonts w:hint="eastAsia" w:ascii="宋体" w:hAnsi="宋体" w:eastAsia="宋体" w:cs="宋体"/>
              </w:rPr>
              <w:t>年度）子课题</w:t>
            </w:r>
          </w:p>
        </w:tc>
        <w:tc>
          <w:tcPr>
            <w:tcW w:w="1729" w:type="dxa"/>
            <w:vAlign w:val="top"/>
          </w:tcPr>
          <w:p w14:paraId="67C01763">
            <w:pPr>
              <w:bidi w:val="0"/>
              <w:jc w:val="center"/>
              <w:rPr>
                <w:rFonts w:hint="eastAsia" w:ascii="宋体" w:hAnsi="宋体" w:eastAsia="宋体" w:cs="宋体"/>
                <w:lang w:val="en-US" w:eastAsia="zh-CN"/>
              </w:rPr>
            </w:pPr>
            <w:r>
              <w:rPr>
                <w:rFonts w:hint="eastAsia" w:ascii="宋体" w:hAnsi="宋体" w:eastAsia="宋体" w:cs="宋体"/>
                <w:lang w:val="en-US" w:eastAsia="zh-CN"/>
              </w:rPr>
              <w:t>2026.4.1-6.30</w:t>
            </w:r>
          </w:p>
        </w:tc>
        <w:tc>
          <w:tcPr>
            <w:tcW w:w="1842" w:type="dxa"/>
            <w:vAlign w:val="top"/>
          </w:tcPr>
          <w:p w14:paraId="4A29A513">
            <w:pPr>
              <w:bidi w:val="0"/>
              <w:jc w:val="center"/>
              <w:rPr>
                <w:rFonts w:hint="eastAsia" w:ascii="宋体" w:hAnsi="宋体" w:eastAsia="宋体" w:cs="宋体"/>
                <w:lang w:val="en-US" w:eastAsia="zh-CN"/>
              </w:rPr>
            </w:pPr>
            <w:r>
              <w:rPr>
                <w:rFonts w:hint="eastAsia" w:ascii="宋体" w:hAnsi="宋体" w:eastAsia="宋体" w:cs="宋体"/>
                <w:lang w:val="en-US" w:eastAsia="zh-CN"/>
              </w:rPr>
              <w:t>2026.7.1-8.31</w:t>
            </w:r>
          </w:p>
        </w:tc>
        <w:tc>
          <w:tcPr>
            <w:tcW w:w="1320" w:type="dxa"/>
            <w:vAlign w:val="top"/>
          </w:tcPr>
          <w:p w14:paraId="74B6D1C4">
            <w:pPr>
              <w:bidi w:val="0"/>
              <w:jc w:val="center"/>
              <w:rPr>
                <w:rFonts w:hint="eastAsia" w:ascii="宋体" w:hAnsi="宋体" w:eastAsia="宋体" w:cs="宋体"/>
                <w:lang w:val="en-US" w:eastAsia="zh-CN"/>
              </w:rPr>
            </w:pPr>
            <w:r>
              <w:rPr>
                <w:rFonts w:hint="eastAsia" w:ascii="宋体" w:hAnsi="宋体" w:eastAsia="宋体" w:cs="宋体"/>
                <w:lang w:val="en-US" w:eastAsia="zh-CN"/>
              </w:rPr>
              <w:t>2027.12</w:t>
            </w:r>
          </w:p>
        </w:tc>
      </w:tr>
    </w:tbl>
    <w:p w14:paraId="0E191C1F">
      <w:pPr>
        <w:spacing w:line="259" w:lineRule="auto"/>
        <w:rPr>
          <w:rFonts w:ascii="Arial"/>
          <w:sz w:val="21"/>
        </w:rPr>
      </w:pPr>
    </w:p>
    <w:p w14:paraId="1CF8358E">
      <w:pPr>
        <w:spacing w:line="259" w:lineRule="auto"/>
        <w:rPr>
          <w:rFonts w:ascii="Arial"/>
          <w:sz w:val="21"/>
        </w:rPr>
      </w:pPr>
    </w:p>
    <w:p w14:paraId="4F8A0B3A">
      <w:pPr>
        <w:pStyle w:val="6"/>
        <w:spacing w:before="101" w:line="225" w:lineRule="auto"/>
        <w:ind w:left="11"/>
        <w:outlineLvl w:val="0"/>
        <w:rPr>
          <w:sz w:val="31"/>
          <w:szCs w:val="31"/>
        </w:rPr>
      </w:pPr>
      <w:r>
        <w:rPr>
          <w:b/>
          <w:bCs/>
          <w:spacing w:val="6"/>
          <w:sz w:val="31"/>
          <w:szCs w:val="31"/>
        </w:rPr>
        <w:t>七、课题平台及资源支撑</w:t>
      </w:r>
    </w:p>
    <w:p w14:paraId="3BDA4A08">
      <w:pPr>
        <w:spacing w:before="225" w:line="341" w:lineRule="auto"/>
        <w:ind w:left="12" w:right="823" w:firstLine="571"/>
        <w:rPr>
          <w:rFonts w:ascii="黑体" w:hAnsi="黑体" w:eastAsia="黑体" w:cs="黑体"/>
          <w:sz w:val="21"/>
          <w:szCs w:val="21"/>
        </w:rPr>
      </w:pPr>
      <w:r>
        <w:rPr>
          <w:rFonts w:ascii="黑体" w:hAnsi="黑体" w:eastAsia="黑体" w:cs="黑体"/>
          <w:b/>
          <w:bCs/>
          <w:spacing w:val="-1"/>
          <w:sz w:val="21"/>
          <w:szCs w:val="21"/>
        </w:rPr>
        <w:t>1.</w:t>
      </w:r>
      <w:r>
        <w:rPr>
          <w:rFonts w:ascii="黑体" w:hAnsi="黑体" w:eastAsia="黑体" w:cs="黑体"/>
          <w:spacing w:val="-1"/>
          <w:sz w:val="21"/>
          <w:szCs w:val="21"/>
        </w:rPr>
        <w:t xml:space="preserve"> </w:t>
      </w:r>
      <w:r>
        <w:rPr>
          <w:rFonts w:ascii="黑体" w:hAnsi="黑体" w:eastAsia="黑体" w:cs="黑体"/>
          <w:b/>
          <w:bCs/>
          <w:spacing w:val="-1"/>
          <w:sz w:val="21"/>
          <w:szCs w:val="21"/>
        </w:rPr>
        <w:t>证据导向的项目式学习系统（Evidence-ba</w:t>
      </w:r>
      <w:r>
        <w:rPr>
          <w:rFonts w:ascii="黑体" w:hAnsi="黑体" w:eastAsia="黑体" w:cs="黑体"/>
          <w:b/>
          <w:bCs/>
          <w:spacing w:val="-2"/>
          <w:sz w:val="21"/>
          <w:szCs w:val="21"/>
        </w:rPr>
        <w:t>sed</w:t>
      </w:r>
      <w:r>
        <w:rPr>
          <w:rFonts w:ascii="黑体" w:hAnsi="黑体" w:eastAsia="黑体" w:cs="黑体"/>
          <w:spacing w:val="-2"/>
          <w:sz w:val="21"/>
          <w:szCs w:val="21"/>
        </w:rPr>
        <w:t xml:space="preserve"> </w:t>
      </w:r>
      <w:r>
        <w:rPr>
          <w:rFonts w:ascii="黑体" w:hAnsi="黑体" w:eastAsia="黑体" w:cs="黑体"/>
          <w:b/>
          <w:bCs/>
          <w:spacing w:val="-2"/>
          <w:sz w:val="21"/>
          <w:szCs w:val="21"/>
        </w:rPr>
        <w:t>Project</w:t>
      </w:r>
      <w:r>
        <w:rPr>
          <w:rFonts w:ascii="黑体" w:hAnsi="黑体" w:eastAsia="黑体" w:cs="黑体"/>
          <w:spacing w:val="-2"/>
          <w:sz w:val="21"/>
          <w:szCs w:val="21"/>
        </w:rPr>
        <w:t xml:space="preserve"> </w:t>
      </w:r>
      <w:r>
        <w:rPr>
          <w:rFonts w:ascii="黑体" w:hAnsi="黑体" w:eastAsia="黑体" w:cs="黑体"/>
          <w:b/>
          <w:bCs/>
          <w:spacing w:val="-2"/>
          <w:sz w:val="21"/>
          <w:szCs w:val="21"/>
        </w:rPr>
        <w:t>Based</w:t>
      </w:r>
      <w:r>
        <w:rPr>
          <w:rFonts w:ascii="黑体" w:hAnsi="黑体" w:eastAsia="黑体" w:cs="黑体"/>
          <w:spacing w:val="-2"/>
          <w:sz w:val="21"/>
          <w:szCs w:val="21"/>
        </w:rPr>
        <w:t xml:space="preserve"> </w:t>
      </w:r>
      <w:r>
        <w:rPr>
          <w:rFonts w:ascii="黑体" w:hAnsi="黑体" w:eastAsia="黑体" w:cs="黑体"/>
          <w:b/>
          <w:bCs/>
          <w:spacing w:val="-2"/>
          <w:sz w:val="21"/>
          <w:szCs w:val="21"/>
        </w:rPr>
        <w:t>Learning</w:t>
      </w:r>
      <w:r>
        <w:rPr>
          <w:rFonts w:ascii="黑体" w:hAnsi="黑体" w:eastAsia="黑体" w:cs="黑体"/>
          <w:spacing w:val="-2"/>
          <w:sz w:val="21"/>
          <w:szCs w:val="21"/>
        </w:rPr>
        <w:t xml:space="preserve"> </w:t>
      </w:r>
      <w:r>
        <w:rPr>
          <w:rFonts w:ascii="黑体" w:hAnsi="黑体" w:eastAsia="黑体" w:cs="黑体"/>
          <w:b/>
          <w:bCs/>
          <w:spacing w:val="-2"/>
          <w:sz w:val="21"/>
          <w:szCs w:val="21"/>
        </w:rPr>
        <w:t>System,</w:t>
      </w:r>
      <w:r>
        <w:rPr>
          <w:rFonts w:ascii="黑体" w:hAnsi="黑体" w:eastAsia="黑体" w:cs="黑体"/>
          <w:sz w:val="21"/>
          <w:szCs w:val="21"/>
        </w:rPr>
        <w:t xml:space="preserve">  </w:t>
      </w:r>
      <w:r>
        <w:rPr>
          <w:rFonts w:ascii="黑体" w:hAnsi="黑体" w:eastAsia="黑体" w:cs="黑体"/>
          <w:b/>
          <w:bCs/>
          <w:spacing w:val="-2"/>
          <w:sz w:val="21"/>
          <w:szCs w:val="21"/>
        </w:rPr>
        <w:t>EPBL系统</w:t>
      </w:r>
      <w:r>
        <w:rPr>
          <w:rFonts w:ascii="黑体" w:hAnsi="黑体" w:eastAsia="黑体" w:cs="黑体"/>
          <w:b/>
          <w:bCs/>
          <w:spacing w:val="2"/>
          <w:sz w:val="21"/>
          <w:szCs w:val="21"/>
        </w:rPr>
        <w:t>），</w:t>
      </w:r>
      <w:r>
        <w:rPr>
          <w:rFonts w:ascii="黑体" w:hAnsi="黑体" w:eastAsia="黑体" w:cs="黑体"/>
          <w:b/>
          <w:bCs/>
          <w:color w:val="261CDC"/>
          <w:spacing w:val="-2"/>
          <w:sz w:val="21"/>
          <w:szCs w:val="21"/>
        </w:rPr>
        <w:t>http</w:t>
      </w:r>
      <w:r>
        <w:rPr>
          <w:rFonts w:hint="eastAsia" w:ascii="黑体" w:hAnsi="黑体" w:eastAsia="黑体" w:cs="黑体"/>
          <w:b/>
          <w:bCs/>
          <w:color w:val="261CDC"/>
          <w:spacing w:val="-2"/>
          <w:sz w:val="21"/>
          <w:szCs w:val="21"/>
          <w:lang w:val="en-US" w:eastAsia="zh-CN"/>
        </w:rPr>
        <w:t>s</w:t>
      </w:r>
      <w:r>
        <w:rPr>
          <w:rFonts w:ascii="黑体" w:hAnsi="黑体" w:eastAsia="黑体" w:cs="黑体"/>
          <w:b/>
          <w:bCs/>
          <w:color w:val="261CDC"/>
          <w:spacing w:val="-2"/>
          <w:sz w:val="21"/>
          <w:szCs w:val="21"/>
        </w:rPr>
        <w:t>://epbl.aicfe.cn</w:t>
      </w:r>
    </w:p>
    <w:p w14:paraId="4725D9AC">
      <w:pPr>
        <w:pStyle w:val="6"/>
        <w:spacing w:before="56" w:line="354" w:lineRule="auto"/>
        <w:ind w:left="22" w:right="2" w:firstLine="419"/>
        <w:jc w:val="both"/>
      </w:pPr>
      <w:r>
        <w:rPr>
          <w:spacing w:val="4"/>
        </w:rPr>
        <w:t>子课题以证据导向的项目式学习（</w:t>
      </w:r>
      <w:r>
        <w:t>EPBL</w:t>
      </w:r>
      <w:r>
        <w:rPr>
          <w:spacing w:val="4"/>
        </w:rPr>
        <w:t>）系统为载体，</w:t>
      </w:r>
      <w:r>
        <w:t>EPBL</w:t>
      </w:r>
      <w:r>
        <w:rPr>
          <w:spacing w:val="3"/>
        </w:rPr>
        <w:t>系统由高精尖中心自主研</w:t>
      </w:r>
      <w:r>
        <w:t xml:space="preserve"> </w:t>
      </w:r>
      <w:r>
        <w:rPr>
          <w:spacing w:val="3"/>
        </w:rPr>
        <w:t xml:space="preserve">发，在对国内外优秀项目式学习方案和案例进行汇聚的同时，基于各学科课程标准和学科 知识图谱，以及学习者能力发展模型，实现自动推荐、人为筛选等多种方式的项目式学习 </w:t>
      </w:r>
      <w:r>
        <w:rPr>
          <w:spacing w:val="2"/>
        </w:rPr>
        <w:t>方案生成，同时支持学习者在线学习及全学习过程的数据采集和智能测评，</w:t>
      </w:r>
      <w:r>
        <w:rPr>
          <w:spacing w:val="-57"/>
        </w:rPr>
        <w:t xml:space="preserve"> </w:t>
      </w:r>
      <w:r>
        <w:rPr>
          <w:spacing w:val="1"/>
        </w:rPr>
        <w:t>从而不断促进</w:t>
      </w:r>
      <w:r>
        <w:t xml:space="preserve"> </w:t>
      </w:r>
      <w:r>
        <w:rPr>
          <w:spacing w:val="-2"/>
        </w:rPr>
        <w:t>学习者问题解决能力、创新能力等综合素养的发展。</w:t>
      </w:r>
    </w:p>
    <w:p w14:paraId="0B1B0D49">
      <w:pPr>
        <w:keepNext w:val="0"/>
        <w:keepLines w:val="0"/>
        <w:pageBreakBefore w:val="0"/>
        <w:widowControl/>
        <w:kinsoku w:val="0"/>
        <w:wordWrap/>
        <w:overflowPunct/>
        <w:topLinePunct w:val="0"/>
        <w:autoSpaceDE w:val="0"/>
        <w:autoSpaceDN w:val="0"/>
        <w:bidi w:val="0"/>
        <w:adjustRightInd w:val="0"/>
        <w:snapToGrid w:val="0"/>
        <w:spacing w:before="5" w:line="240" w:lineRule="auto"/>
        <w:jc w:val="center"/>
        <w:textAlignment w:val="baseline"/>
      </w:pPr>
      <w:r>
        <w:drawing>
          <wp:inline distT="0" distB="0" distL="114300" distR="114300">
            <wp:extent cx="2908300" cy="5019040"/>
            <wp:effectExtent l="0" t="0" r="0" b="1016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stretch>
                      <a:fillRect/>
                    </a:stretch>
                  </pic:blipFill>
                  <pic:spPr>
                    <a:xfrm>
                      <a:off x="0" y="0"/>
                      <a:ext cx="2908300" cy="5019040"/>
                    </a:xfrm>
                    <a:prstGeom prst="rect">
                      <a:avLst/>
                    </a:prstGeom>
                    <a:noFill/>
                    <a:ln>
                      <a:noFill/>
                    </a:ln>
                  </pic:spPr>
                </pic:pic>
              </a:graphicData>
            </a:graphic>
          </wp:inline>
        </w:drawing>
      </w:r>
    </w:p>
    <w:p w14:paraId="6CFB3C29">
      <w:pPr>
        <w:pStyle w:val="6"/>
        <w:spacing w:before="226" w:line="344" w:lineRule="auto"/>
        <w:ind w:left="466" w:right="2228" w:firstLine="2221"/>
        <w:rPr>
          <w:spacing w:val="8"/>
        </w:rPr>
      </w:pPr>
      <w:r>
        <w:rPr>
          <w:spacing w:val="-3"/>
        </w:rPr>
        <w:t>图 3 证据导向的项目式学习系统首页</w:t>
      </w:r>
      <w:r>
        <w:rPr>
          <w:spacing w:val="8"/>
        </w:rPr>
        <w:t xml:space="preserve"> </w:t>
      </w:r>
    </w:p>
    <w:p w14:paraId="664E0468">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pPr>
    </w:p>
    <w:sectPr>
      <w:pgSz w:w="11912" w:h="16841"/>
      <w:pgMar w:top="1431" w:right="1786" w:bottom="1417" w:left="1786"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Microsoft JhengHei">
    <w:panose1 w:val="020B0604030504040204"/>
    <w:charset w:val="88"/>
    <w:family w:val="auto"/>
    <w:pitch w:val="default"/>
    <w:sig w:usb0="000002A7" w:usb1="28CF4400" w:usb2="00000016" w:usb3="00000000" w:csb0="00100009"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OTlkYmQ2YWI1YTM3MDkwZmZiYTgzNTRjNjhkNTY4NWYifQ=="/>
  </w:docVars>
  <w:rsids>
    <w:rsidRoot w:val="00000000"/>
    <w:rsid w:val="018A54E7"/>
    <w:rsid w:val="03E35B15"/>
    <w:rsid w:val="04221CA6"/>
    <w:rsid w:val="050242AD"/>
    <w:rsid w:val="06A978B5"/>
    <w:rsid w:val="07574AD6"/>
    <w:rsid w:val="08B61527"/>
    <w:rsid w:val="0A7140AD"/>
    <w:rsid w:val="0B1C70AA"/>
    <w:rsid w:val="0D3B5CCB"/>
    <w:rsid w:val="0E374D2A"/>
    <w:rsid w:val="0F0323B9"/>
    <w:rsid w:val="0F19203C"/>
    <w:rsid w:val="0F2F3A12"/>
    <w:rsid w:val="0F6525E4"/>
    <w:rsid w:val="1010343F"/>
    <w:rsid w:val="10A4393A"/>
    <w:rsid w:val="1162629C"/>
    <w:rsid w:val="117C6279"/>
    <w:rsid w:val="11E41AA1"/>
    <w:rsid w:val="121A5F6A"/>
    <w:rsid w:val="124403B4"/>
    <w:rsid w:val="14473D69"/>
    <w:rsid w:val="149E0388"/>
    <w:rsid w:val="16E80942"/>
    <w:rsid w:val="179922D3"/>
    <w:rsid w:val="196C2483"/>
    <w:rsid w:val="1B4855C5"/>
    <w:rsid w:val="1B6507F3"/>
    <w:rsid w:val="1D3021D2"/>
    <w:rsid w:val="1D526E45"/>
    <w:rsid w:val="1DED79FB"/>
    <w:rsid w:val="1F2F4E6B"/>
    <w:rsid w:val="1FC83937"/>
    <w:rsid w:val="21507EA2"/>
    <w:rsid w:val="218E68BA"/>
    <w:rsid w:val="24E011DB"/>
    <w:rsid w:val="25965D3D"/>
    <w:rsid w:val="262C6B49"/>
    <w:rsid w:val="264E443C"/>
    <w:rsid w:val="277312D3"/>
    <w:rsid w:val="27A95EF3"/>
    <w:rsid w:val="27AF6820"/>
    <w:rsid w:val="287F663C"/>
    <w:rsid w:val="291275A9"/>
    <w:rsid w:val="29C747DD"/>
    <w:rsid w:val="2A3E39E6"/>
    <w:rsid w:val="2B32641C"/>
    <w:rsid w:val="2C734AF0"/>
    <w:rsid w:val="2CA353E4"/>
    <w:rsid w:val="2FA03FC4"/>
    <w:rsid w:val="30ED2B9B"/>
    <w:rsid w:val="32407191"/>
    <w:rsid w:val="32A520FC"/>
    <w:rsid w:val="32FC7776"/>
    <w:rsid w:val="331F595E"/>
    <w:rsid w:val="346C65E7"/>
    <w:rsid w:val="356D5FA2"/>
    <w:rsid w:val="359B3391"/>
    <w:rsid w:val="368220F2"/>
    <w:rsid w:val="368423B6"/>
    <w:rsid w:val="37106B1B"/>
    <w:rsid w:val="382F281B"/>
    <w:rsid w:val="38664899"/>
    <w:rsid w:val="3946343D"/>
    <w:rsid w:val="3AB5229D"/>
    <w:rsid w:val="3B8B4C6A"/>
    <w:rsid w:val="3C1C6B44"/>
    <w:rsid w:val="3E0111E3"/>
    <w:rsid w:val="3E3416D5"/>
    <w:rsid w:val="3E7B6F01"/>
    <w:rsid w:val="3F981351"/>
    <w:rsid w:val="40DB2273"/>
    <w:rsid w:val="41F23423"/>
    <w:rsid w:val="42114C71"/>
    <w:rsid w:val="42A91CE4"/>
    <w:rsid w:val="4332051F"/>
    <w:rsid w:val="43AD5E11"/>
    <w:rsid w:val="443640EC"/>
    <w:rsid w:val="443B60E6"/>
    <w:rsid w:val="4451366F"/>
    <w:rsid w:val="45565B9C"/>
    <w:rsid w:val="45D40490"/>
    <w:rsid w:val="46E35ACC"/>
    <w:rsid w:val="46FF7EF9"/>
    <w:rsid w:val="477C2A92"/>
    <w:rsid w:val="497A1573"/>
    <w:rsid w:val="4B296952"/>
    <w:rsid w:val="4D13189E"/>
    <w:rsid w:val="4D1760B7"/>
    <w:rsid w:val="4E16040D"/>
    <w:rsid w:val="4E563066"/>
    <w:rsid w:val="4E724CEA"/>
    <w:rsid w:val="4F3B153B"/>
    <w:rsid w:val="4FB62866"/>
    <w:rsid w:val="50811622"/>
    <w:rsid w:val="50FD7050"/>
    <w:rsid w:val="513E57A0"/>
    <w:rsid w:val="52075B24"/>
    <w:rsid w:val="52484A1A"/>
    <w:rsid w:val="52E57838"/>
    <w:rsid w:val="530E129B"/>
    <w:rsid w:val="54936CA6"/>
    <w:rsid w:val="54A97C3B"/>
    <w:rsid w:val="56097CE2"/>
    <w:rsid w:val="56A634F3"/>
    <w:rsid w:val="58473F79"/>
    <w:rsid w:val="5A8B1BF4"/>
    <w:rsid w:val="5B4B7CAA"/>
    <w:rsid w:val="5BD818EA"/>
    <w:rsid w:val="5DD13342"/>
    <w:rsid w:val="5DDC5CDC"/>
    <w:rsid w:val="5FC55B17"/>
    <w:rsid w:val="60025ECE"/>
    <w:rsid w:val="60213E7A"/>
    <w:rsid w:val="60234687"/>
    <w:rsid w:val="612F5326"/>
    <w:rsid w:val="61B37A1C"/>
    <w:rsid w:val="61BA613A"/>
    <w:rsid w:val="64804DAB"/>
    <w:rsid w:val="64B27C93"/>
    <w:rsid w:val="65254915"/>
    <w:rsid w:val="68F17EB2"/>
    <w:rsid w:val="6BF37F4E"/>
    <w:rsid w:val="6C363A3D"/>
    <w:rsid w:val="6DC5678C"/>
    <w:rsid w:val="6E1478D5"/>
    <w:rsid w:val="70EE6FDD"/>
    <w:rsid w:val="72225811"/>
    <w:rsid w:val="72D354A8"/>
    <w:rsid w:val="74CC29BA"/>
    <w:rsid w:val="75603D7E"/>
    <w:rsid w:val="75A136D2"/>
    <w:rsid w:val="75B35AE7"/>
    <w:rsid w:val="75D73C17"/>
    <w:rsid w:val="763C0907"/>
    <w:rsid w:val="76B31878"/>
    <w:rsid w:val="77A05FDA"/>
    <w:rsid w:val="782C72FB"/>
    <w:rsid w:val="7B144F61"/>
    <w:rsid w:val="7B266586"/>
    <w:rsid w:val="7C464F3C"/>
    <w:rsid w:val="7C9C6796"/>
    <w:rsid w:val="7D4D2CF0"/>
    <w:rsid w:val="7D853C80"/>
    <w:rsid w:val="7D9B26AB"/>
    <w:rsid w:val="7DC1282E"/>
    <w:rsid w:val="7E667BD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Body Text"/>
    <w:basedOn w:val="1"/>
    <w:semiHidden/>
    <w:qFormat/>
    <w:uiPriority w:val="0"/>
    <w:rPr>
      <w:rFonts w:ascii="宋体" w:hAnsi="宋体" w:eastAsia="宋体" w:cs="宋体"/>
      <w:sz w:val="21"/>
      <w:szCs w:val="21"/>
      <w:lang w:val="en-US" w:eastAsia="en-US" w:bidi="ar-SA"/>
    </w:rPr>
  </w:style>
  <w:style w:type="character" w:styleId="9">
    <w:name w:val="Strong"/>
    <w:basedOn w:val="8"/>
    <w:qFormat/>
    <w:uiPriority w:val="0"/>
    <w:rPr>
      <w:b/>
    </w:rPr>
  </w:style>
  <w:style w:type="character" w:styleId="10">
    <w:name w:val="FollowedHyperlink"/>
    <w:basedOn w:val="8"/>
    <w:qFormat/>
    <w:uiPriority w:val="0"/>
    <w:rPr>
      <w:color w:val="800080"/>
      <w:u w:val="single"/>
    </w:rPr>
  </w:style>
  <w:style w:type="character" w:styleId="11">
    <w:name w:val="Hyperlink"/>
    <w:basedOn w:val="8"/>
    <w:qFormat/>
    <w:uiPriority w:val="0"/>
    <w:rPr>
      <w:color w:val="0000FF"/>
      <w:u w:val="single"/>
    </w:rPr>
  </w:style>
  <w:style w:type="table" w:customStyle="1" w:styleId="12">
    <w:name w:val="Table Normal"/>
    <w:semiHidden/>
    <w:unhideWhenUsed/>
    <w:qFormat/>
    <w:uiPriority w:val="0"/>
    <w:tblPr>
      <w:tblCellMar>
        <w:top w:w="0" w:type="dxa"/>
        <w:left w:w="0" w:type="dxa"/>
        <w:bottom w:w="0" w:type="dxa"/>
        <w:right w:w="0" w:type="dxa"/>
      </w:tblCellMar>
    </w:tblPr>
  </w:style>
  <w:style w:type="paragraph" w:customStyle="1" w:styleId="13">
    <w:name w:val="Table Text"/>
    <w:basedOn w:val="1"/>
    <w:semiHidden/>
    <w:qFormat/>
    <w:uiPriority w:val="0"/>
    <w:rPr>
      <w:rFonts w:ascii="宋体" w:hAnsi="宋体" w:eastAsia="宋体" w:cs="宋体"/>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image" Target="media/image3.pn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7</Pages>
  <Words>3191</Words>
  <Characters>3261</Characters>
  <TotalTime>0</TotalTime>
  <ScaleCrop>false</ScaleCrop>
  <LinksUpToDate>false</LinksUpToDate>
  <CharactersWithSpaces>3343</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2023-10-12T15:53:00Z</dcterms:created>
  <dc:creator>诸婧文</dc:creator>
  <cp:lastModifiedBy>刘春旸</cp:lastModifiedBy>
  <dcterms:modified xsi:type="dcterms:W3CDTF">2026-04-20T06:35:56Z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2024-11-18T15:49:59Z</vt:filetime>
  </property>
  <property fmtid="{D5CDD505-2E9C-101B-9397-08002B2CF9AE}" pid="4" name="KSOProductBuildVer">
    <vt:lpwstr>2052-12.1.0.23542</vt:lpwstr>
  </property>
  <property fmtid="{D5CDD505-2E9C-101B-9397-08002B2CF9AE}" pid="5" name="ICV">
    <vt:lpwstr>43E0A0453E374BA99F0AEF68A54C2F02_12</vt:lpwstr>
  </property>
  <property fmtid="{D5CDD505-2E9C-101B-9397-08002B2CF9AE}" pid="6" name="KSOTemplateDocerSaveRecord">
    <vt:lpwstr>eyJoZGlkIjoiYzc2NTg0ZjMxOTZhODY5YTZjZTc2MWYxY2JmNzEzMWIiLCJ1c2VySWQiOiIxNjUwMjMwMzEyIn0=</vt:lpwstr>
  </property>
</Properties>
</file>