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6A85">
      <w:pPr>
        <w:pStyle w:val="3"/>
        <w:numPr>
          <w:ilvl w:val="1"/>
          <w:numId w:val="0"/>
        </w:numPr>
        <w:bidi w:val="0"/>
        <w:ind w:leftChars="0"/>
        <w:rPr>
          <w:rFonts w:hint="eastAsia" w:ascii="黑体" w:hAnsi="黑体" w:eastAsia="黑体" w:cs="黑体"/>
          <w:b w:val="0"/>
          <w:bCs/>
        </w:rPr>
      </w:pPr>
      <w:r>
        <w:rPr>
          <w:rFonts w:hint="eastAsia" w:ascii="黑体" w:hAnsi="黑体" w:eastAsia="黑体" w:cs="黑体"/>
          <w:b w:val="0"/>
          <w:bCs/>
        </w:rPr>
        <w:t>附件</w:t>
      </w:r>
      <w:r>
        <w:rPr>
          <w:rFonts w:hint="eastAsia" w:ascii="黑体" w:hAnsi="黑体" w:eastAsia="黑体" w:cs="黑体"/>
          <w:b w:val="0"/>
          <w:bCs/>
          <w:lang w:eastAsia="zh-CN"/>
        </w:rPr>
        <w:t>：</w:t>
      </w:r>
      <w:r>
        <w:rPr>
          <w:rFonts w:hint="eastAsia" w:ascii="黑体" w:hAnsi="黑体" w:eastAsia="黑体" w:cs="黑体"/>
          <w:b w:val="0"/>
          <w:bCs/>
          <w:lang w:val="en-US" w:eastAsia="zh-CN"/>
        </w:rPr>
        <w:t>1.</w:t>
      </w:r>
      <w:r>
        <w:rPr>
          <w:rFonts w:hint="eastAsia" w:ascii="黑体" w:hAnsi="黑体" w:eastAsia="黑体" w:cs="黑体"/>
          <w:b w:val="0"/>
          <w:bCs/>
        </w:rPr>
        <w:t>作品征集说明</w:t>
      </w:r>
    </w:p>
    <w:p w14:paraId="463458A3">
      <w:pPr>
        <w:bidi w:val="0"/>
        <w:rPr>
          <w:rFonts w:hint="eastAsia"/>
        </w:rPr>
      </w:pPr>
      <w:r>
        <w:rPr>
          <w:rFonts w:hint="eastAsia"/>
        </w:rPr>
        <w:t>为了帮助各地总结成功经验，展示各地教育信息化数字化应用成果，本次会议将面向全国各地的中小学学校征集教育信息化数字化应用优秀成果，包括①数字化转型赋能精准教学、教研和管理类研究论文</w:t>
      </w:r>
      <w:r>
        <w:rPr>
          <w:rFonts w:hint="eastAsia"/>
          <w:lang w:eastAsia="zh-CN"/>
        </w:rPr>
        <w:t>；</w:t>
      </w:r>
      <w:r>
        <w:rPr>
          <w:rFonts w:hint="eastAsia"/>
        </w:rPr>
        <w:t>②信息技术与学科融合的教学课例</w:t>
      </w:r>
      <w:r>
        <w:rPr>
          <w:rFonts w:hint="eastAsia"/>
          <w:lang w:eastAsia="zh-CN"/>
        </w:rPr>
        <w:t>。</w:t>
      </w:r>
      <w:r>
        <w:rPr>
          <w:rFonts w:hint="eastAsia"/>
        </w:rPr>
        <w:t>大会评审委员会将对作品评选，包括特等奖、一等奖、二等奖、三等奖等，并对获奖的优秀作品予以表彰，优秀者推荐参会发言。</w:t>
      </w:r>
    </w:p>
    <w:p w14:paraId="46DFE96B">
      <w:pPr>
        <w:pStyle w:val="2"/>
        <w:bidi w:val="0"/>
        <w:rPr>
          <w:rFonts w:hint="eastAsia"/>
          <w:lang w:val="en-US" w:eastAsia="zh-CN"/>
        </w:rPr>
      </w:pPr>
      <w:r>
        <w:rPr>
          <w:rFonts w:hint="eastAsia"/>
          <w:lang w:val="en-US" w:eastAsia="zh-CN"/>
        </w:rPr>
        <w:t>作品选题</w:t>
      </w:r>
    </w:p>
    <w:p w14:paraId="4ED09E44">
      <w:pPr>
        <w:pStyle w:val="3"/>
        <w:bidi w:val="0"/>
        <w:ind w:left="0" w:leftChars="0" w:firstLine="0" w:firstLineChars="0"/>
        <w:rPr>
          <w:rFonts w:hint="eastAsia"/>
        </w:rPr>
      </w:pPr>
      <w:r>
        <w:rPr>
          <w:rFonts w:hint="eastAsia"/>
        </w:rPr>
        <w:t>选题领域</w:t>
      </w:r>
    </w:p>
    <w:p w14:paraId="1B556903">
      <w:pPr>
        <w:bidi w:val="0"/>
        <w:rPr>
          <w:rFonts w:hint="eastAsia"/>
        </w:rPr>
      </w:pPr>
      <w:r>
        <w:rPr>
          <w:rFonts w:hint="eastAsia"/>
        </w:rPr>
        <w:t>《数智化背景下的语文教育创新发展研究》子课题须围绕数智技术与语文教育的深度融合展开，基于各类任务群教学的创新开展，聚焦语文核心素养（语言能力、思维品质、文化传承、艺术审美）的培育。课题内容涵盖以下四个研究领域：</w:t>
      </w:r>
    </w:p>
    <w:p w14:paraId="09A87CA9">
      <w:pPr>
        <w:bidi w:val="0"/>
        <w:rPr>
          <w:rFonts w:hint="eastAsia"/>
        </w:rPr>
      </w:pPr>
      <w:r>
        <w:rPr>
          <w:rFonts w:hint="eastAsia"/>
          <w:lang w:eastAsia="zh-CN"/>
        </w:rPr>
        <w:t>（</w:t>
      </w:r>
      <w:r>
        <w:rPr>
          <w:rFonts w:hint="eastAsia"/>
          <w:lang w:val="en-US" w:eastAsia="zh-CN"/>
        </w:rPr>
        <w:t>1）</w:t>
      </w:r>
      <w:r>
        <w:rPr>
          <w:rFonts w:hint="eastAsia"/>
        </w:rPr>
        <w:t>数智时代语文教学中的技术应用：研究人工智能、大数据、语音识别、生成式AI等数智技术在语文教学中的具体应用，探索其在作文批改、阅读理解、口语表达、古诗词创意写作等教学环节中的效果与优化策略，提升教学效率与学生语文能力。</w:t>
      </w:r>
    </w:p>
    <w:p w14:paraId="2C70B45F">
      <w:pPr>
        <w:bidi w:val="0"/>
        <w:rPr>
          <w:rFonts w:hint="eastAsia"/>
        </w:rPr>
      </w:pPr>
      <w:r>
        <w:rPr>
          <w:rFonts w:hint="eastAsia"/>
          <w:lang w:eastAsia="zh-CN"/>
        </w:rPr>
        <w:t>（</w:t>
      </w:r>
      <w:r>
        <w:rPr>
          <w:rFonts w:hint="eastAsia"/>
          <w:lang w:val="en-US" w:eastAsia="zh-CN"/>
        </w:rPr>
        <w:t>2）</w:t>
      </w:r>
      <w:r>
        <w:rPr>
          <w:rFonts w:hint="eastAsia"/>
        </w:rPr>
        <w:t>面向语文的数智教学环境构建：研究智能纸笔、自适应学习平台、虚拟现实/增强现实（VR/AR）、多模态资源库等技术在构建语文教学环境中的作用，开发支持个性化学习与沉浸式体验的教学资源与平台，推动“三余阅读”等智能化平台的在地化应用。</w:t>
      </w:r>
    </w:p>
    <w:p w14:paraId="022B5362">
      <w:pPr>
        <w:bidi w:val="0"/>
        <w:rPr>
          <w:rFonts w:hint="eastAsia"/>
        </w:rPr>
      </w:pPr>
      <w:r>
        <w:rPr>
          <w:rFonts w:hint="eastAsia"/>
          <w:lang w:eastAsia="zh-CN"/>
        </w:rPr>
        <w:t>（</w:t>
      </w:r>
      <w:r>
        <w:rPr>
          <w:rFonts w:hint="eastAsia"/>
        </w:rPr>
        <w:t>3</w:t>
      </w:r>
      <w:r>
        <w:rPr>
          <w:rFonts w:hint="eastAsia"/>
          <w:lang w:eastAsia="zh-CN"/>
        </w:rPr>
        <w:t>）</w:t>
      </w:r>
      <w:r>
        <w:rPr>
          <w:rFonts w:hint="eastAsia"/>
        </w:rPr>
        <w:t>数智技术支持下的语文教学模式创新：发展语文运用为中心的211教学模式，各场景的整本书深度阅读、人机协同任务群教学等新型教学模式的设计与实施，研究数智技术在课堂组织、群文阅读、跨文本信息整合中的支持作用，形成适应多样化教学情境的智能教学范式。</w:t>
      </w:r>
    </w:p>
    <w:p w14:paraId="366DFE2C">
      <w:pPr>
        <w:bidi w:val="0"/>
        <w:rPr>
          <w:rFonts w:hint="eastAsia"/>
        </w:rPr>
      </w:pPr>
      <w:r>
        <w:rPr>
          <w:rFonts w:hint="eastAsia"/>
          <w:lang w:eastAsia="zh-CN"/>
        </w:rPr>
        <w:t>（</w:t>
      </w:r>
      <w:r>
        <w:rPr>
          <w:rFonts w:hint="eastAsia"/>
          <w:lang w:val="en-US" w:eastAsia="zh-CN"/>
        </w:rPr>
        <w:t>4）</w:t>
      </w:r>
      <w:r>
        <w:rPr>
          <w:rFonts w:hint="eastAsia"/>
        </w:rPr>
        <w:t>数智支持下的语文育人生态建设：研究基于语文数据的学生素养多维画像、课堂教学与家庭共读一体化学习链、AI语文学伴及多校协同教研共同体等机制，构建以数智技术为支撑的育人生态，推动学生核心素养动态评价与教师专业发展。</w:t>
      </w:r>
    </w:p>
    <w:p w14:paraId="0D50E7E8">
      <w:pPr>
        <w:pStyle w:val="3"/>
        <w:bidi w:val="0"/>
        <w:rPr>
          <w:rFonts w:hint="eastAsia"/>
        </w:rPr>
      </w:pPr>
      <w:r>
        <w:rPr>
          <w:rFonts w:hint="eastAsia"/>
          <w:lang w:val="en-US" w:eastAsia="zh-CN"/>
        </w:rPr>
        <w:t>选题方向</w:t>
      </w:r>
    </w:p>
    <w:p w14:paraId="45F1BF43">
      <w:pPr>
        <w:bidi w:val="0"/>
        <w:rPr>
          <w:rFonts w:hint="eastAsia"/>
          <w:b/>
          <w:bCs/>
        </w:rPr>
      </w:pPr>
      <w:r>
        <w:rPr>
          <w:rFonts w:hint="eastAsia"/>
          <w:b/>
          <w:bCs/>
        </w:rPr>
        <w:t>方向1：数智化背景下的语文实践活动创新研究</w:t>
      </w:r>
    </w:p>
    <w:p w14:paraId="1DD7219B">
      <w:pPr>
        <w:bidi w:val="0"/>
        <w:rPr>
          <w:rFonts w:hint="eastAsia"/>
        </w:rPr>
      </w:pPr>
      <w:r>
        <w:rPr>
          <w:rFonts w:hint="eastAsia"/>
        </w:rPr>
        <w:t>数智技术与识字与写字的融合创新</w:t>
      </w:r>
    </w:p>
    <w:p w14:paraId="058844E7">
      <w:pPr>
        <w:bidi w:val="0"/>
        <w:rPr>
          <w:rFonts w:hint="eastAsia"/>
        </w:rPr>
      </w:pPr>
      <w:r>
        <w:rPr>
          <w:rFonts w:hint="eastAsia"/>
        </w:rPr>
        <w:t>数智技术促进阅读与鉴赏的创新实践</w:t>
      </w:r>
    </w:p>
    <w:p w14:paraId="2AA3342F">
      <w:pPr>
        <w:bidi w:val="0"/>
        <w:rPr>
          <w:rFonts w:hint="eastAsia"/>
        </w:rPr>
      </w:pPr>
      <w:r>
        <w:rPr>
          <w:rFonts w:hint="eastAsia"/>
        </w:rPr>
        <w:t>数智技术促进表达与交流的实践与实效</w:t>
      </w:r>
    </w:p>
    <w:p w14:paraId="6F7F50EF">
      <w:pPr>
        <w:bidi w:val="0"/>
        <w:rPr>
          <w:rFonts w:hint="eastAsia"/>
        </w:rPr>
      </w:pPr>
      <w:r>
        <w:rPr>
          <w:rFonts w:hint="eastAsia"/>
        </w:rPr>
        <w:t>数智技术促进梳理与探究的创新实施</w:t>
      </w:r>
    </w:p>
    <w:p w14:paraId="34A60BB5">
      <w:pPr>
        <w:bidi w:val="0"/>
        <w:rPr>
          <w:rFonts w:hint="eastAsia"/>
        </w:rPr>
      </w:pPr>
    </w:p>
    <w:p w14:paraId="3421B6EC">
      <w:pPr>
        <w:bidi w:val="0"/>
        <w:rPr>
          <w:rFonts w:hint="eastAsia"/>
          <w:b/>
          <w:bCs/>
        </w:rPr>
      </w:pPr>
      <w:r>
        <w:rPr>
          <w:rFonts w:hint="eastAsia"/>
          <w:b/>
          <w:bCs/>
        </w:rPr>
        <w:t>方向2：数智化背景下的语文学习任务群的创新设计与实施</w:t>
      </w:r>
    </w:p>
    <w:p w14:paraId="7E14127B">
      <w:pPr>
        <w:bidi w:val="0"/>
        <w:rPr>
          <w:rFonts w:hint="eastAsia"/>
        </w:rPr>
      </w:pPr>
      <w:r>
        <w:rPr>
          <w:rFonts w:hint="eastAsia"/>
        </w:rPr>
        <w:t>数智技术促进语言文字的积累与构建的创新模式</w:t>
      </w:r>
    </w:p>
    <w:p w14:paraId="27060E1D">
      <w:pPr>
        <w:bidi w:val="0"/>
        <w:rPr>
          <w:rFonts w:hint="eastAsia"/>
        </w:rPr>
      </w:pPr>
      <w:r>
        <w:rPr>
          <w:rFonts w:hint="eastAsia"/>
        </w:rPr>
        <w:t>数智技术融入实用性阅读与交流的教学模式研究</w:t>
      </w:r>
    </w:p>
    <w:p w14:paraId="56C62C37">
      <w:pPr>
        <w:bidi w:val="0"/>
        <w:rPr>
          <w:rFonts w:hint="eastAsia"/>
        </w:rPr>
      </w:pPr>
      <w:r>
        <w:rPr>
          <w:rFonts w:hint="eastAsia"/>
        </w:rPr>
        <w:t>数智技术融入文学阅读与创意表达的教学模式研究</w:t>
      </w:r>
    </w:p>
    <w:p w14:paraId="5B306447">
      <w:pPr>
        <w:bidi w:val="0"/>
        <w:rPr>
          <w:rFonts w:hint="eastAsia"/>
        </w:rPr>
      </w:pPr>
      <w:r>
        <w:rPr>
          <w:rFonts w:hint="eastAsia"/>
        </w:rPr>
        <w:t>数智技术融入思辨性阅读与交流的教学模式研究</w:t>
      </w:r>
    </w:p>
    <w:p w14:paraId="617EB805">
      <w:pPr>
        <w:bidi w:val="0"/>
        <w:rPr>
          <w:rFonts w:hint="eastAsia"/>
        </w:rPr>
      </w:pPr>
      <w:r>
        <w:rPr>
          <w:rFonts w:hint="eastAsia"/>
        </w:rPr>
        <w:t>数智技术促进整本书阅读的创新模式研究</w:t>
      </w:r>
    </w:p>
    <w:p w14:paraId="359C791A">
      <w:pPr>
        <w:bidi w:val="0"/>
        <w:rPr>
          <w:rFonts w:hint="eastAsia"/>
        </w:rPr>
      </w:pPr>
      <w:r>
        <w:rPr>
          <w:rFonts w:hint="eastAsia"/>
        </w:rPr>
        <w:t>数智技术促进语文跨学科学习的创新实践</w:t>
      </w:r>
    </w:p>
    <w:p w14:paraId="4DDEFAD0">
      <w:pPr>
        <w:bidi w:val="0"/>
        <w:rPr>
          <w:rFonts w:hint="eastAsia"/>
        </w:rPr>
      </w:pPr>
      <w:r>
        <w:rPr>
          <w:rFonts w:hint="eastAsia"/>
        </w:rPr>
        <w:t>数智技术促进各类文体的创新教学模式研究</w:t>
      </w:r>
    </w:p>
    <w:p w14:paraId="63248BC2">
      <w:pPr>
        <w:bidi w:val="0"/>
        <w:rPr>
          <w:rFonts w:hint="eastAsia"/>
        </w:rPr>
      </w:pPr>
    </w:p>
    <w:p w14:paraId="60FD842A">
      <w:pPr>
        <w:bidi w:val="0"/>
        <w:rPr>
          <w:rFonts w:hint="eastAsia"/>
          <w:b/>
          <w:bCs/>
        </w:rPr>
      </w:pPr>
      <w:r>
        <w:rPr>
          <w:rFonts w:hint="eastAsia"/>
          <w:b/>
          <w:bCs/>
        </w:rPr>
        <w:t>方向3：数智化背景下语文素养发展测评研究</w:t>
      </w:r>
    </w:p>
    <w:p w14:paraId="65422908">
      <w:pPr>
        <w:bidi w:val="0"/>
        <w:rPr>
          <w:rFonts w:hint="eastAsia"/>
        </w:rPr>
      </w:pPr>
      <w:r>
        <w:rPr>
          <w:rFonts w:hint="eastAsia"/>
        </w:rPr>
        <w:t>数智技术促进语言建构与应用的实践研究</w:t>
      </w:r>
    </w:p>
    <w:p w14:paraId="4390253A">
      <w:pPr>
        <w:bidi w:val="0"/>
        <w:rPr>
          <w:rFonts w:hint="eastAsia"/>
        </w:rPr>
      </w:pPr>
      <w:r>
        <w:rPr>
          <w:rFonts w:hint="eastAsia"/>
        </w:rPr>
        <w:t>数智技术促进思维发展与提升的实践研究</w:t>
      </w:r>
    </w:p>
    <w:p w14:paraId="7654F1BF">
      <w:pPr>
        <w:bidi w:val="0"/>
        <w:rPr>
          <w:rFonts w:hint="eastAsia"/>
        </w:rPr>
      </w:pPr>
      <w:r>
        <w:rPr>
          <w:rFonts w:hint="eastAsia"/>
        </w:rPr>
        <w:t>数智技术促进审美鉴赏与创造的实践研究</w:t>
      </w:r>
    </w:p>
    <w:p w14:paraId="699ADAC1">
      <w:pPr>
        <w:bidi w:val="0"/>
        <w:rPr>
          <w:rFonts w:hint="eastAsia"/>
        </w:rPr>
      </w:pPr>
      <w:r>
        <w:rPr>
          <w:rFonts w:hint="eastAsia"/>
        </w:rPr>
        <w:t>数智技术促进文化传承与理解的实践研究</w:t>
      </w:r>
    </w:p>
    <w:p w14:paraId="1525599C">
      <w:pPr>
        <w:bidi w:val="0"/>
        <w:rPr>
          <w:rFonts w:hint="eastAsia"/>
        </w:rPr>
      </w:pPr>
      <w:r>
        <w:rPr>
          <w:rFonts w:hint="eastAsia"/>
        </w:rPr>
        <w:t>数智技术促进积累·整合的创新实践与效果</w:t>
      </w:r>
    </w:p>
    <w:p w14:paraId="3A44F644">
      <w:pPr>
        <w:bidi w:val="0"/>
        <w:rPr>
          <w:rFonts w:hint="eastAsia"/>
        </w:rPr>
      </w:pPr>
      <w:r>
        <w:rPr>
          <w:rFonts w:hint="eastAsia"/>
        </w:rPr>
        <w:t>数智技术促进感受·鉴赏的创新实践与效果</w:t>
      </w:r>
    </w:p>
    <w:p w14:paraId="2D0087A6">
      <w:pPr>
        <w:bidi w:val="0"/>
        <w:rPr>
          <w:rFonts w:hint="eastAsia"/>
        </w:rPr>
      </w:pPr>
      <w:r>
        <w:rPr>
          <w:rFonts w:hint="eastAsia"/>
        </w:rPr>
        <w:t>数智技术促进思考·领悟的创新实践与效果</w:t>
      </w:r>
    </w:p>
    <w:p w14:paraId="6A0FE727">
      <w:pPr>
        <w:bidi w:val="0"/>
        <w:rPr>
          <w:rFonts w:hint="eastAsia"/>
        </w:rPr>
      </w:pPr>
      <w:r>
        <w:rPr>
          <w:rFonts w:hint="eastAsia"/>
        </w:rPr>
        <w:t>数智技术促进应用·拓展的创新实践与效果</w:t>
      </w:r>
    </w:p>
    <w:p w14:paraId="58B79891">
      <w:pPr>
        <w:bidi w:val="0"/>
        <w:rPr>
          <w:rFonts w:hint="eastAsia" w:ascii="仿宋" w:hAnsi="仿宋" w:eastAsia="仿宋" w:cs="仿宋"/>
          <w:sz w:val="28"/>
          <w:szCs w:val="28"/>
        </w:rPr>
      </w:pPr>
      <w:r>
        <w:rPr>
          <w:rFonts w:hint="eastAsia"/>
        </w:rPr>
        <w:t>数智技术促进发现·创新的实践与效果</w:t>
      </w:r>
    </w:p>
    <w:p w14:paraId="500F6FF5">
      <w:pPr>
        <w:pStyle w:val="2"/>
        <w:bidi w:val="0"/>
      </w:pPr>
      <w:r>
        <w:t>作品类型</w:t>
      </w:r>
    </w:p>
    <w:p w14:paraId="340ADE29">
      <w:pPr>
        <w:pStyle w:val="3"/>
        <w:bidi w:val="0"/>
      </w:pPr>
      <w:r>
        <w:rPr>
          <w:rFonts w:hint="eastAsia"/>
        </w:rPr>
        <w:t>数字化转型赋能教学、教研和管理类研究论文</w:t>
      </w:r>
    </w:p>
    <w:p w14:paraId="2999D5CB">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由教师独立或合作撰写，并在此前未公开发表，字数在3000-5000字，被评选为优秀的教学论文将收录到会议论文集中。具体排版参见附件，请提交</w:t>
      </w:r>
      <w:r>
        <w:rPr>
          <w:rFonts w:hint="eastAsia" w:ascii="仿宋" w:hAnsi="仿宋" w:cs="仿宋"/>
          <w:kern w:val="2"/>
          <w:sz w:val="28"/>
          <w:szCs w:val="28"/>
          <w:lang w:val="en-US" w:eastAsia="zh-CN"/>
        </w:rPr>
        <w:t>PDF</w:t>
      </w:r>
      <w:r>
        <w:rPr>
          <w:rFonts w:hint="eastAsia" w:ascii="仿宋" w:hAnsi="仿宋" w:eastAsia="仿宋" w:cs="仿宋"/>
          <w:kern w:val="2"/>
          <w:sz w:val="28"/>
          <w:szCs w:val="28"/>
        </w:rPr>
        <w:t>版本。</w:t>
      </w:r>
    </w:p>
    <w:p w14:paraId="05676FF1">
      <w:pPr>
        <w:pStyle w:val="3"/>
        <w:bidi w:val="0"/>
      </w:pPr>
      <w:r>
        <w:rPr>
          <w:rFonts w:hint="eastAsia"/>
        </w:rPr>
        <w:t>信息技术与学科融合的教学课例</w:t>
      </w:r>
    </w:p>
    <w:p w14:paraId="03EE6369">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完整反映技术支持的一个教学课例，能够体现信息技术与课程整合的理念，且符合本次会议议题。内容中可以包括：（1）教学设计方案；（2）教学录像；（3）教学资源；（4）教学反思；（5）学生作品；（6）学科领域专家对教学实施的评价；（7）教学课例中指导思想的理论化描述；（8）教学效果的评价。【前2项为必须包含的内容，后6项为可选包含的内容】</w:t>
      </w:r>
    </w:p>
    <w:p w14:paraId="11F9EB1A">
      <w:pPr>
        <w:pStyle w:val="2"/>
        <w:bidi w:val="0"/>
      </w:pPr>
      <w:r>
        <w:t>作品具体注意事项</w:t>
      </w:r>
    </w:p>
    <w:p w14:paraId="1303C0D9">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教学研究论文紧扣会议相关主题，符合格式要求，且未经出版发表；</w:t>
      </w:r>
    </w:p>
    <w:p w14:paraId="29CB7F96">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参评作品鼓励创新，在新的教学理念指导下，突破现有资源的框架，有自己的特色和创新，作品具有一定的可推广价值与借鉴意义；</w:t>
      </w:r>
    </w:p>
    <w:p w14:paraId="5CCD9BCB">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参评作品中的图片与音视频素材要高清，且呈现内容清晰完整，各素材格式符合主流打开格式（如.mp4 .gif .PNG .jpg等）。</w:t>
      </w:r>
    </w:p>
    <w:p w14:paraId="1D0C4957">
      <w:pPr>
        <w:pStyle w:val="2"/>
        <w:bidi w:val="0"/>
      </w:pPr>
      <w:r>
        <w:t>作品提交方式</w:t>
      </w:r>
    </w:p>
    <w:p w14:paraId="0BBD3233">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依托智慧教研平台（https://tkben.aicfe.cn/</w:t>
      </w:r>
      <w:bookmarkStart w:id="0" w:name="_GoBack"/>
      <w:bookmarkEnd w:id="0"/>
      <w:r>
        <w:rPr>
          <w:rFonts w:hint="eastAsia" w:ascii="仿宋" w:hAnsi="仿宋" w:eastAsia="仿宋" w:cs="仿宋"/>
          <w:kern w:val="2"/>
          <w:sz w:val="28"/>
          <w:szCs w:val="28"/>
        </w:rPr>
        <w:t>）完成，点击“教研社区-赛事中心”进入赛事中心“数智化背景下的语文教育创新发展研究作品征集”专区，按照作品类型点击加入活动。专区。</w:t>
      </w:r>
    </w:p>
    <w:p w14:paraId="6594F31D">
      <w:pPr>
        <w:pStyle w:val="14"/>
        <w:widowControl/>
        <w:spacing w:before="120" w:after="156" w:afterLines="50" w:line="276" w:lineRule="auto"/>
        <w:ind w:firstLine="420"/>
        <w:jc w:val="both"/>
        <w:rPr>
          <w:rFonts w:ascii="仿宋" w:hAnsi="仿宋" w:eastAsia="仿宋" w:cs="仿宋"/>
          <w:kern w:val="2"/>
          <w:sz w:val="28"/>
          <w:szCs w:val="28"/>
        </w:rPr>
      </w:pPr>
      <w:r>
        <w:rPr>
          <w:rFonts w:hint="eastAsia" w:ascii="仿宋" w:hAnsi="仿宋" w:eastAsia="仿宋" w:cs="仿宋"/>
          <w:kern w:val="2"/>
          <w:sz w:val="28"/>
          <w:szCs w:val="28"/>
        </w:rPr>
        <w:t>作品类型填报：分为研究论文类；教学课例类等</w:t>
      </w:r>
      <w:r>
        <w:rPr>
          <w:rFonts w:hint="eastAsia" w:ascii="仿宋" w:hAnsi="仿宋" w:cs="仿宋"/>
          <w:kern w:val="2"/>
          <w:sz w:val="28"/>
          <w:szCs w:val="28"/>
          <w:lang w:val="en-US" w:eastAsia="zh-CN"/>
        </w:rPr>
        <w:t>两</w:t>
      </w:r>
      <w:r>
        <w:rPr>
          <w:rFonts w:hint="eastAsia" w:ascii="仿宋" w:hAnsi="仿宋" w:eastAsia="仿宋" w:cs="仿宋"/>
          <w:kern w:val="2"/>
          <w:sz w:val="28"/>
          <w:szCs w:val="28"/>
        </w:rPr>
        <w:t>大类</w:t>
      </w:r>
    </w:p>
    <w:p w14:paraId="64E3D622">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作者填报：按作品贡献排序，研究论文类；教学课例类；</w:t>
      </w:r>
    </w:p>
    <w:p w14:paraId="36C231AE">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学段填报：小学段或中学段；</w:t>
      </w:r>
    </w:p>
    <w:p w14:paraId="111D179E">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教学内容与主题：填写作品的简单信息，如年级、教学单元、教学主题（科学探究活动、主题阅读活动、单元活动课等），总体描述不多于50字；</w:t>
      </w:r>
    </w:p>
    <w:p w14:paraId="1983FE4A">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所有提交的参评作品请各学校自行备份，作品提交截止时间为202</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rPr>
        <w:t>年6月</w:t>
      </w:r>
      <w:r>
        <w:rPr>
          <w:rFonts w:hint="eastAsia" w:ascii="仿宋" w:hAnsi="仿宋" w:cs="仿宋"/>
          <w:kern w:val="2"/>
          <w:sz w:val="28"/>
          <w:szCs w:val="28"/>
          <w:lang w:val="en-US" w:eastAsia="zh-CN"/>
        </w:rPr>
        <w:t>30</w:t>
      </w:r>
      <w:r>
        <w:rPr>
          <w:rFonts w:hint="eastAsia" w:ascii="仿宋" w:hAnsi="仿宋" w:eastAsia="仿宋" w:cs="仿宋"/>
          <w:kern w:val="2"/>
          <w:sz w:val="28"/>
          <w:szCs w:val="28"/>
        </w:rPr>
        <w:t>日；</w:t>
      </w:r>
    </w:p>
    <w:p w14:paraId="42AF0F81">
      <w:pPr>
        <w:pStyle w:val="14"/>
        <w:widowControl/>
        <w:spacing w:before="120" w:after="156" w:afterLines="50" w:line="276" w:lineRule="auto"/>
        <w:ind w:firstLine="420"/>
        <w:jc w:val="both"/>
        <w:rPr>
          <w:rFonts w:hint="eastAsia" w:ascii="仿宋" w:hAnsi="仿宋" w:eastAsia="仿宋" w:cs="仿宋"/>
          <w:kern w:val="2"/>
          <w:sz w:val="28"/>
          <w:szCs w:val="28"/>
        </w:rPr>
      </w:pPr>
      <w:r>
        <w:rPr>
          <w:rFonts w:hint="eastAsia" w:ascii="仿宋" w:hAnsi="仿宋" w:eastAsia="仿宋" w:cs="仿宋"/>
          <w:kern w:val="2"/>
          <w:sz w:val="28"/>
          <w:szCs w:val="28"/>
        </w:rPr>
        <w:t>保证参评作品的原创性，如非参评作者原创，将取消该作品的参评资格。</w:t>
      </w:r>
    </w:p>
    <w:p w14:paraId="3DE8B3B2">
      <w:pPr>
        <w:pStyle w:val="2"/>
        <w:bidi w:val="0"/>
      </w:pPr>
      <w:r>
        <w:t>作品征集联系人</w:t>
      </w:r>
    </w:p>
    <w:p w14:paraId="2B87FE2D">
      <w:r>
        <w:rPr>
          <w:rFonts w:hint="eastAsia" w:ascii="仿宋" w:hAnsi="仿宋" w:cs="仿宋"/>
          <w:kern w:val="2"/>
          <w:sz w:val="28"/>
          <w:szCs w:val="28"/>
          <w:lang w:val="en-US" w:eastAsia="zh-CN"/>
        </w:rPr>
        <w:t>杨老师（手机号18217103278）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0114E"/>
    <w:multiLevelType w:val="multilevel"/>
    <w:tmpl w:val="FE00114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hYjQ0YzU2ZjcwZjFkMDJlOTE5M2I4MDgzOGNkNmYifQ=="/>
  </w:docVars>
  <w:rsids>
    <w:rsidRoot w:val="0069403C"/>
    <w:rsid w:val="00540030"/>
    <w:rsid w:val="0069403C"/>
    <w:rsid w:val="00EE6873"/>
    <w:rsid w:val="05F31C91"/>
    <w:rsid w:val="0CE71E24"/>
    <w:rsid w:val="136104B8"/>
    <w:rsid w:val="150914E1"/>
    <w:rsid w:val="1A450189"/>
    <w:rsid w:val="22DE117B"/>
    <w:rsid w:val="2988071C"/>
    <w:rsid w:val="29C72969"/>
    <w:rsid w:val="32BC1251"/>
    <w:rsid w:val="32D32F78"/>
    <w:rsid w:val="32E53FC8"/>
    <w:rsid w:val="33B45BC8"/>
    <w:rsid w:val="42DD5FBF"/>
    <w:rsid w:val="430345BA"/>
    <w:rsid w:val="43B85518"/>
    <w:rsid w:val="4A0C5C6D"/>
    <w:rsid w:val="4BD92B47"/>
    <w:rsid w:val="57F20F9F"/>
    <w:rsid w:val="629372B1"/>
    <w:rsid w:val="634C7460"/>
    <w:rsid w:val="6DE947F9"/>
    <w:rsid w:val="71994F59"/>
    <w:rsid w:val="735F353F"/>
    <w:rsid w:val="76F6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 w:cs="Times New Roman"/>
      <w:kern w:val="2"/>
      <w:sz w:val="28"/>
      <w:szCs w:val="24"/>
      <w:lang w:val="en-US" w:eastAsia="zh-CN" w:bidi="ar-SA"/>
      <w14:ligatures w14:val="none"/>
    </w:rPr>
  </w:style>
  <w:style w:type="paragraph" w:styleId="2">
    <w:name w:val="heading 1"/>
    <w:basedOn w:val="1"/>
    <w:next w:val="1"/>
    <w:qFormat/>
    <w:uiPriority w:val="9"/>
    <w:pPr>
      <w:keepNext/>
      <w:keepLines/>
      <w:numPr>
        <w:ilvl w:val="0"/>
        <w:numId w:val="1"/>
      </w:numPr>
      <w:spacing w:before="340" w:beforeLines="0" w:beforeAutospacing="0" w:after="330" w:afterLines="0" w:afterAutospacing="0" w:line="576" w:lineRule="auto"/>
      <w:ind w:firstLine="0" w:firstLineChars="0"/>
      <w:outlineLvl w:val="0"/>
    </w:pPr>
    <w:rPr>
      <w:rFonts w:eastAsia="黑体"/>
      <w:kern w:val="44"/>
      <w:sz w:val="32"/>
    </w:rPr>
  </w:style>
  <w:style w:type="paragraph" w:styleId="3">
    <w:name w:val="heading 2"/>
    <w:basedOn w:val="1"/>
    <w:next w:val="1"/>
    <w:link w:val="19"/>
    <w:qFormat/>
    <w:uiPriority w:val="0"/>
    <w:pPr>
      <w:keepNext/>
      <w:keepLines/>
      <w:numPr>
        <w:ilvl w:val="1"/>
        <w:numId w:val="1"/>
      </w:numPr>
      <w:spacing w:before="260" w:after="260" w:line="413" w:lineRule="auto"/>
      <w:ind w:firstLine="0" w:firstLineChars="0"/>
      <w:outlineLvl w:val="1"/>
    </w:pPr>
    <w:rPr>
      <w:rFonts w:ascii="Arial" w:hAnsi="Arial" w:eastAsia="楷体"/>
      <w:b/>
      <w:sz w:val="32"/>
    </w:rPr>
  </w:style>
  <w:style w:type="paragraph" w:styleId="4">
    <w:name w:val="heading 3"/>
    <w:basedOn w:val="1"/>
    <w:next w:val="1"/>
    <w:link w:val="20"/>
    <w:qFormat/>
    <w:uiPriority w:val="0"/>
    <w:pPr>
      <w:keepNext/>
      <w:keepLines/>
      <w:numPr>
        <w:ilvl w:val="2"/>
        <w:numId w:val="1"/>
      </w:numPr>
      <w:spacing w:before="260" w:after="260" w:line="413" w:lineRule="auto"/>
      <w:ind w:firstLineChars="0"/>
      <w:outlineLvl w:val="2"/>
    </w:pPr>
    <w:rPr>
      <w:rFonts w:eastAsia="宋体"/>
      <w:b/>
      <w:sz w:val="32"/>
    </w:rPr>
  </w:style>
  <w:style w:type="paragraph" w:styleId="5">
    <w:name w:val="heading 4"/>
    <w:basedOn w:val="1"/>
    <w:next w:val="1"/>
    <w:link w:val="21"/>
    <w:qFormat/>
    <w:uiPriority w:val="0"/>
    <w:pPr>
      <w:keepNext/>
      <w:keepLines/>
      <w:numPr>
        <w:ilvl w:val="3"/>
        <w:numId w:val="1"/>
      </w:numPr>
      <w:spacing w:before="280" w:after="29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character" w:customStyle="1" w:styleId="17">
    <w:name w:val="页眉 字符"/>
    <w:basedOn w:val="16"/>
    <w:link w:val="13"/>
    <w:qFormat/>
    <w:uiPriority w:val="99"/>
    <w:rPr>
      <w:sz w:val="18"/>
      <w:szCs w:val="18"/>
    </w:rPr>
  </w:style>
  <w:style w:type="character" w:customStyle="1" w:styleId="18">
    <w:name w:val="页脚 字符"/>
    <w:basedOn w:val="16"/>
    <w:link w:val="12"/>
    <w:qFormat/>
    <w:uiPriority w:val="99"/>
    <w:rPr>
      <w:sz w:val="18"/>
      <w:szCs w:val="18"/>
    </w:rPr>
  </w:style>
  <w:style w:type="character" w:customStyle="1" w:styleId="19">
    <w:name w:val="标题 2 字符"/>
    <w:basedOn w:val="16"/>
    <w:link w:val="3"/>
    <w:qFormat/>
    <w:uiPriority w:val="0"/>
    <w:rPr>
      <w:rFonts w:ascii="Arial" w:hAnsi="Arial" w:eastAsia="楷体" w:cs="Times New Roman"/>
      <w:b/>
      <w:sz w:val="32"/>
      <w:szCs w:val="24"/>
      <w14:ligatures w14:val="none"/>
    </w:rPr>
  </w:style>
  <w:style w:type="character" w:customStyle="1" w:styleId="20">
    <w:name w:val="标题 3 字符"/>
    <w:basedOn w:val="16"/>
    <w:link w:val="4"/>
    <w:qFormat/>
    <w:uiPriority w:val="0"/>
    <w:rPr>
      <w:rFonts w:ascii="Calibri" w:hAnsi="Calibri" w:eastAsia="宋体" w:cs="Times New Roman"/>
      <w:b/>
      <w:sz w:val="32"/>
      <w:szCs w:val="24"/>
      <w14:ligatures w14:val="none"/>
    </w:rPr>
  </w:style>
  <w:style w:type="character" w:customStyle="1" w:styleId="21">
    <w:name w:val="标题 4 字符"/>
    <w:basedOn w:val="16"/>
    <w:link w:val="5"/>
    <w:qFormat/>
    <w:uiPriority w:val="0"/>
    <w:rPr>
      <w:rFonts w:ascii="Arial" w:hAnsi="Arial" w:eastAsia="黑体" w:cs="Times New Roman"/>
      <w:b/>
      <w:sz w:val="28"/>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762</Words>
  <Characters>771</Characters>
  <Lines>8</Lines>
  <Paragraphs>2</Paragraphs>
  <TotalTime>0</TotalTime>
  <ScaleCrop>false</ScaleCrop>
  <LinksUpToDate>false</LinksUpToDate>
  <CharactersWithSpaces>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2024-04-07T07:35:00Z</dcterms:created>
  <dc:creator>浩然 王</dc:creator>
  <cp:lastModifiedBy>冀林林</cp:lastModifiedBy>
  <dcterms:modified xsi:type="dcterms:W3CDTF">2026-07-09T00:50:17Z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C2537D43DFB44EDDA1156166787F5A47_12</vt:lpwstr>
  </property>
  <property fmtid="{D5CDD505-2E9C-101B-9397-08002B2CF9AE}" pid="4" name="KSOTemplateDocerSaveRecord">
    <vt:lpwstr>eyJoZGlkIjoiMWJhYTM0ZTAwZGRmOGZiZTFiZjZhMWMxMDIzNDRhMjYiLCJ1c2VySWQiOiIxNzE3MDg2MDg0In0=</vt:lpwstr>
  </property>
</Properties>
</file>