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1CCE1">
      <w:pPr>
        <w:spacing w:line="325" w:lineRule="auto"/>
        <w:rPr>
          <w:rFonts w:ascii="Arial"/>
          <w:sz w:val="21"/>
        </w:rPr>
      </w:pPr>
    </w:p>
    <w:p w14:paraId="786D0551">
      <w:pPr>
        <w:spacing w:before="100" w:line="221" w:lineRule="auto"/>
        <w:ind w:left="381"/>
        <w:jc w:val="center"/>
        <w:rPr>
          <w:rFonts w:ascii="黑体" w:hAnsi="黑体" w:eastAsia="黑体" w:cs="黑体"/>
          <w:sz w:val="31"/>
          <w:szCs w:val="31"/>
        </w:rPr>
      </w:pPr>
      <w:r>
        <w:rPr>
          <w:rFonts w:ascii="黑体" w:hAnsi="黑体" w:eastAsia="黑体" w:cs="黑体"/>
          <w:b/>
          <w:bCs/>
          <w:spacing w:val="-4"/>
          <w:sz w:val="31"/>
          <w:szCs w:val="31"/>
        </w:rPr>
        <w:t>“证据导向的项目式学科实践活动研究”子课题</w:t>
      </w:r>
      <w:r>
        <w:rPr>
          <w:rFonts w:ascii="黑体" w:hAnsi="黑体" w:eastAsia="黑体" w:cs="黑体"/>
          <w:b/>
          <w:bCs/>
          <w:spacing w:val="-5"/>
          <w:sz w:val="31"/>
          <w:szCs w:val="31"/>
        </w:rPr>
        <w:t>开放申请指南</w:t>
      </w:r>
    </w:p>
    <w:p w14:paraId="4414DDAF">
      <w:pPr>
        <w:spacing w:line="314" w:lineRule="auto"/>
        <w:rPr>
          <w:rFonts w:ascii="Arial"/>
          <w:sz w:val="21"/>
        </w:rPr>
      </w:pPr>
    </w:p>
    <w:p w14:paraId="7FD83AB4">
      <w:pPr>
        <w:spacing w:line="314" w:lineRule="auto"/>
        <w:rPr>
          <w:rFonts w:ascii="Arial"/>
          <w:sz w:val="21"/>
        </w:rPr>
      </w:pPr>
    </w:p>
    <w:p w14:paraId="7B205C2A">
      <w:pPr>
        <w:pStyle w:val="6"/>
        <w:spacing w:before="101" w:line="225" w:lineRule="auto"/>
        <w:ind w:left="130"/>
        <w:outlineLvl w:val="0"/>
        <w:rPr>
          <w:sz w:val="31"/>
          <w:szCs w:val="31"/>
        </w:rPr>
      </w:pPr>
      <w:r>
        <w:rPr>
          <w:b/>
          <w:bCs/>
          <w:spacing w:val="2"/>
          <w:sz w:val="31"/>
          <w:szCs w:val="31"/>
        </w:rPr>
        <w:t>一、课题背景</w:t>
      </w:r>
    </w:p>
    <w:p w14:paraId="190FC4CE">
      <w:pPr>
        <w:pStyle w:val="6"/>
        <w:spacing w:before="226" w:line="219" w:lineRule="auto"/>
        <w:ind w:left="481"/>
      </w:pPr>
      <w:r>
        <w:t>党的二十大报告强调“推进教育数字化，建设全民终身学习的学习型社会、学习</w:t>
      </w:r>
      <w:r>
        <w:rPr>
          <w:spacing w:val="-1"/>
        </w:rPr>
        <w:t>型大</w:t>
      </w:r>
    </w:p>
    <w:p w14:paraId="3E8C62B7">
      <w:pPr>
        <w:pStyle w:val="6"/>
        <w:spacing w:before="158" w:line="356" w:lineRule="auto"/>
        <w:ind w:firstLine="21"/>
      </w:pPr>
      <w:r>
        <w:rPr>
          <w:spacing w:val="-1"/>
        </w:rPr>
        <w:t>国”。</w:t>
      </w:r>
      <w:r>
        <w:rPr>
          <w:rFonts w:ascii="Arial" w:hAnsi="Arial" w:eastAsia="Arial" w:cs="Arial"/>
          <w:spacing w:val="-1"/>
        </w:rPr>
        <w:t xml:space="preserve">2022 </w:t>
      </w:r>
      <w:r>
        <w:rPr>
          <w:spacing w:val="-1"/>
        </w:rPr>
        <w:t>年，教育部颁布了《义务教育课程方案和课程标准（</w:t>
      </w:r>
      <w:r>
        <w:rPr>
          <w:rFonts w:ascii="Arial" w:hAnsi="Arial" w:eastAsia="Arial" w:cs="Arial"/>
          <w:spacing w:val="-1"/>
        </w:rPr>
        <w:t xml:space="preserve">2022 </w:t>
      </w:r>
      <w:r>
        <w:rPr>
          <w:spacing w:val="-1"/>
        </w:rPr>
        <w:t>年版）》，</w:t>
      </w:r>
      <w:r>
        <w:rPr>
          <w:spacing w:val="-2"/>
        </w:rPr>
        <w:t>新课标中明</w:t>
      </w:r>
      <w:r>
        <w:t>确提出要变革育人方式，着力发展学生核心素养，加强课程内容与</w:t>
      </w:r>
      <w:r>
        <w:rPr>
          <w:spacing w:val="-1"/>
        </w:rPr>
        <w:t>学生经验、社会生活的联系，</w:t>
      </w:r>
      <w:r>
        <w:t xml:space="preserve"> 强化学科内知识整合，统筹设计综合课程和跨学科主题学习，加强学科间相互关联，带动</w:t>
      </w:r>
      <w:r>
        <w:rPr>
          <w:spacing w:val="-1"/>
        </w:rPr>
        <w:t>课程</w:t>
      </w:r>
      <w:r>
        <w:t>综合化实验，强化实践性要求。义务教育课程方案与课程标准强调素养导向、学科育人，</w:t>
      </w:r>
      <w:r>
        <w:rPr>
          <w:spacing w:val="-1"/>
        </w:rPr>
        <w:t>重组</w:t>
      </w:r>
      <w:r>
        <w:t>课程内容，探索与素养目标和内容结构化相匹配的、学科典型的学习方式，推进以学科实</w:t>
      </w:r>
      <w:r>
        <w:rPr>
          <w:spacing w:val="-1"/>
        </w:rPr>
        <w:t>践为</w:t>
      </w:r>
      <w:r>
        <w:t>标志的育人方式变革。所谓学科实践，指的是具有学科意蕴的典型实践，即学科专业共同</w:t>
      </w:r>
      <w:r>
        <w:rPr>
          <w:spacing w:val="-1"/>
        </w:rPr>
        <w:t>体怀</w:t>
      </w:r>
      <w:r>
        <w:t>着共享的愿景与价值观，运用该学科的概念、思想与工具，整合心理过程与操控技能，解</w:t>
      </w:r>
      <w:r>
        <w:rPr>
          <w:spacing w:val="-1"/>
        </w:rPr>
        <w:t>决真</w:t>
      </w:r>
      <w:r>
        <w:t>实情境中的问题的一套典型做法。2023</w:t>
      </w:r>
      <w:r>
        <w:rPr>
          <w:spacing w:val="-46"/>
        </w:rPr>
        <w:t xml:space="preserve"> </w:t>
      </w:r>
      <w:r>
        <w:t>年，教育部办公厅印发的《基础</w:t>
      </w:r>
      <w:r>
        <w:rPr>
          <w:spacing w:val="-1"/>
        </w:rPr>
        <w:t>教育课程教学改革深</w:t>
      </w:r>
      <w:r>
        <w:t>化行动方案》强调“深化课程教学改革，加强机制创新，指导、发动各地和学校深化育</w:t>
      </w:r>
      <w:r>
        <w:rPr>
          <w:spacing w:val="-1"/>
        </w:rPr>
        <w:t>人关键</w:t>
      </w:r>
      <w:r>
        <w:t xml:space="preserve"> 环节和重点领域改革，更新教育理念，转变育人方式，坚决扭转片面应试教育倾向，切实</w:t>
      </w:r>
      <w:r>
        <w:rPr>
          <w:spacing w:val="-1"/>
        </w:rPr>
        <w:t>提高</w:t>
      </w:r>
      <w:r>
        <w:t>育人水平，促进学生德智体美劳全面发展”以及课程方案转化落地规划行动、教学方式变</w:t>
      </w:r>
      <w:r>
        <w:rPr>
          <w:spacing w:val="-1"/>
        </w:rPr>
        <w:t>革行</w:t>
      </w:r>
      <w:r>
        <w:t>动、科学素养提升行动、教学评价牵引行动、专业支撑与数字赋能行动几项重点任务。</w:t>
      </w:r>
      <w:r>
        <w:rPr>
          <w:rFonts w:hint="eastAsia"/>
          <w:color w:val="333333"/>
          <w:spacing w:val="-1"/>
        </w:rPr>
        <w:t>2024年，全国教育工作会议指出要“把全面提高人才自主培养质量、支撑高水平科技自立自强作为主攻方向，把进一步全面深化改革作为根本动力，在教育的数字化、国际化、绿色化方向上开辟发展新空间，加快建设高质量教育体系，办好人民满意的教育，培养德智体美劳全面发展的社会主义建设者和接班人，为全面推进中华民族伟大复兴作出新的更大贡献。”《教育强国建设规划纲要（2024-2035年）》中明确提出要促进人工智能助力教育变革，深化人工智能助推教师队伍建设。</w:t>
      </w:r>
      <w:r>
        <w:t>项</w:t>
      </w:r>
      <w:r>
        <w:rPr>
          <w:spacing w:val="-1"/>
        </w:rPr>
        <w:t>目式</w:t>
      </w:r>
      <w:r>
        <w:t>学习以真实情境为基础，以现实问题和真实任务为驱动，在实施项目的过程中需要学生主</w:t>
      </w:r>
      <w:r>
        <w:rPr>
          <w:spacing w:val="-1"/>
        </w:rPr>
        <w:t>动</w:t>
      </w:r>
      <w:r>
        <w:rPr>
          <w:color w:val="333333"/>
          <w:spacing w:val="-1"/>
        </w:rPr>
        <w:t>思</w:t>
      </w:r>
      <w:r>
        <w:rPr>
          <w:color w:val="333333"/>
        </w:rPr>
        <w:t>考、合作与探究，解决实际问题，其主观能动性和学习动机被充分调动起来，有助于促进</w:t>
      </w:r>
      <w:r>
        <w:rPr>
          <w:color w:val="333333"/>
          <w:spacing w:val="-1"/>
        </w:rPr>
        <w:t>学生</w:t>
      </w:r>
      <w:r>
        <w:rPr>
          <w:color w:val="333333"/>
        </w:rPr>
        <w:t>学科知识与能力的综合运用、培养学生的复杂问题解决能力和创新能力。项目式学习符合</w:t>
      </w:r>
      <w:r>
        <w:rPr>
          <w:color w:val="333333"/>
          <w:spacing w:val="-1"/>
        </w:rPr>
        <w:t>新课</w:t>
      </w:r>
      <w:r>
        <w:rPr>
          <w:color w:val="333333"/>
        </w:rPr>
        <w:t>标要求，契合双减政策，是培养学生核心素养的有效方式，也是我国基础教育课程改革中</w:t>
      </w:r>
      <w:r>
        <w:rPr>
          <w:color w:val="333333"/>
          <w:spacing w:val="-1"/>
        </w:rPr>
        <w:t>落实学科实践的有效途径之一。</w:t>
      </w:r>
    </w:p>
    <w:p w14:paraId="026CED32">
      <w:pPr>
        <w:pStyle w:val="6"/>
        <w:spacing w:before="33" w:line="355" w:lineRule="auto"/>
        <w:ind w:left="1" w:right="198" w:firstLine="482"/>
        <w:jc w:val="both"/>
      </w:pPr>
      <w:r>
        <w:rPr>
          <w:color w:val="333333"/>
        </w:rPr>
        <w:t>北京师范大学未来教育高精尖创新中心（以下简称</w:t>
      </w:r>
      <w:r>
        <w:rPr>
          <w:rFonts w:ascii="Arial" w:hAnsi="Arial" w:eastAsia="Arial" w:cs="Arial"/>
          <w:color w:val="333333"/>
        </w:rPr>
        <w:t>“</w:t>
      </w:r>
      <w:r>
        <w:rPr>
          <w:color w:val="333333"/>
        </w:rPr>
        <w:t>高精尖中心</w:t>
      </w:r>
      <w:r>
        <w:rPr>
          <w:rFonts w:ascii="Arial" w:hAnsi="Arial" w:eastAsia="Arial" w:cs="Arial"/>
          <w:color w:val="333333"/>
        </w:rPr>
        <w:t>”</w:t>
      </w:r>
      <w:r>
        <w:rPr>
          <w:color w:val="333333"/>
        </w:rPr>
        <w:t>）是北京市政</w:t>
      </w:r>
      <w:r>
        <w:rPr>
          <w:color w:val="333333"/>
          <w:spacing w:val="-1"/>
        </w:rPr>
        <w:t>府支持建设</w:t>
      </w:r>
      <w:r>
        <w:rPr>
          <w:color w:val="333333"/>
        </w:rPr>
        <w:t>的首批高精尖中心之一，是以教育科技创新为核心方向的高水平国际化创新平台。面向</w:t>
      </w:r>
      <w:r>
        <w:rPr>
          <w:color w:val="333333"/>
          <w:spacing w:val="-1"/>
        </w:rPr>
        <w:t>教育深</w:t>
      </w:r>
      <w:r>
        <w:rPr>
          <w:color w:val="333333"/>
        </w:rPr>
        <w:t>化综合改革的重大实践需求，高精尖中心汇聚北京师范大学的教育信息化领域、学科教</w:t>
      </w:r>
      <w:r>
        <w:rPr>
          <w:color w:val="333333"/>
          <w:spacing w:val="-1"/>
        </w:rPr>
        <w:t>育领域</w:t>
      </w:r>
      <w:r>
        <w:rPr>
          <w:color w:val="333333"/>
        </w:rPr>
        <w:t>专家，发挥既有学科和专家团队优势，深入探索新课标下的学科课程实践，创新变革教</w:t>
      </w:r>
      <w:r>
        <w:rPr>
          <w:color w:val="333333"/>
          <w:spacing w:val="-1"/>
        </w:rPr>
        <w:t>育教学</w:t>
      </w:r>
      <w:r>
        <w:rPr>
          <w:color w:val="333333"/>
        </w:rPr>
        <w:t>方式，并通过持续实践和改进，形成了一系列包括平台、工具、资源、学科实践质量提</w:t>
      </w:r>
      <w:r>
        <w:rPr>
          <w:color w:val="333333"/>
          <w:spacing w:val="-1"/>
        </w:rPr>
        <w:t>升的教</w:t>
      </w:r>
      <w:r>
        <w:rPr>
          <w:color w:val="333333"/>
        </w:rPr>
        <w:t>学教研系列解决方案，并在全国重点区域开展了实践探索，取得了良好的效果，积累了</w:t>
      </w:r>
      <w:r>
        <w:rPr>
          <w:color w:val="333333"/>
          <w:spacing w:val="-1"/>
        </w:rPr>
        <w:t>丰富的</w:t>
      </w:r>
      <w:r>
        <w:rPr>
          <w:color w:val="333333"/>
          <w:spacing w:val="-2"/>
        </w:rPr>
        <w:t>学科实践相关研究与实践经验。</w:t>
      </w:r>
    </w:p>
    <w:p w14:paraId="781E66A8">
      <w:pPr>
        <w:pStyle w:val="6"/>
        <w:spacing w:before="32" w:line="352" w:lineRule="auto"/>
        <w:ind w:right="198" w:firstLine="481"/>
        <w:rPr>
          <w:color w:val="333333"/>
          <w:spacing w:val="-1"/>
        </w:rPr>
      </w:pPr>
      <w:r>
        <w:rPr>
          <w:color w:val="333333"/>
        </w:rPr>
        <w:t>本课题从证据导向的项目式学习视角探讨学科实践活动和跨学科主题的设计与实施，旨在进一步探索人工智能赋能下的项目式学科实践活动，进一步加强学科知识与学生经验、社会生活的联系，强化学科内知识整合，加强学科间相互关联，推动课堂教学改革，促进学生核心素养提升，实现学科育人价值，落实新时代的育人目标</w:t>
      </w:r>
      <w:r>
        <w:rPr>
          <w:rFonts w:hint="eastAsia"/>
          <w:color w:val="333333"/>
          <w:lang w:eastAsia="zh-CN"/>
        </w:rPr>
        <w:t>，</w:t>
      </w:r>
      <w:r>
        <w:rPr>
          <w:color w:val="333333"/>
          <w:spacing w:val="-1"/>
        </w:rPr>
        <w:t>现发布高精尖中心子课题申请指南。</w:t>
      </w:r>
    </w:p>
    <w:p w14:paraId="72BB5E54">
      <w:pPr>
        <w:pStyle w:val="6"/>
        <w:spacing w:before="32" w:line="352" w:lineRule="auto"/>
        <w:ind w:right="198" w:firstLine="481"/>
        <w:rPr>
          <w:color w:val="333333"/>
        </w:rPr>
      </w:pPr>
    </w:p>
    <w:p w14:paraId="70F7FFE4">
      <w:pPr>
        <w:pStyle w:val="2"/>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pPr>
      <w:r>
        <w:t>二、课题目标</w:t>
      </w:r>
    </w:p>
    <w:p w14:paraId="52035BBD">
      <w:pPr>
        <w:pStyle w:val="6"/>
        <w:spacing w:before="226" w:line="221" w:lineRule="auto"/>
        <w:ind w:left="572"/>
        <w:outlineLvl w:val="1"/>
      </w:pPr>
      <w:r>
        <w:rPr>
          <w:b/>
          <w:bCs/>
          <w:spacing w:val="-3"/>
        </w:rPr>
        <w:t>1.聚焦课改，推动新课标真实落地</w:t>
      </w:r>
    </w:p>
    <w:p w14:paraId="5EBA55A7">
      <w:pPr>
        <w:pStyle w:val="6"/>
        <w:spacing w:before="156" w:line="345" w:lineRule="auto"/>
        <w:ind w:left="111" w:right="277" w:firstLine="443"/>
        <w:jc w:val="both"/>
      </w:pPr>
      <w:r>
        <w:t>新的课改方案充分体现了党的十九大提出的“全面贯彻党的教育方针，落实立德树</w:t>
      </w:r>
      <w:r>
        <w:rPr>
          <w:spacing w:val="-1"/>
        </w:rPr>
        <w:t>人根</w:t>
      </w:r>
      <w:r>
        <w:t xml:space="preserve"> 本任务，发展素质教育，推进教育公平，培养德智体美全面发展的社会主义建设者和</w:t>
      </w:r>
      <w:r>
        <w:rPr>
          <w:spacing w:val="-1"/>
        </w:rPr>
        <w:t>接班</w:t>
      </w:r>
      <w:r>
        <w:t>人”。课程</w:t>
      </w:r>
      <w:r>
        <w:rPr>
          <w:color w:val="191919"/>
        </w:rPr>
        <w:t>改革的需要教师的</w:t>
      </w:r>
      <w:r>
        <w:t>教学理念不断更新，从学生的实际情况出发，把“教”</w:t>
      </w:r>
      <w:r>
        <w:rPr>
          <w:spacing w:val="-1"/>
        </w:rPr>
        <w:t>建立在</w:t>
      </w:r>
      <w:r>
        <w:t>“学”的基础上，把“教”和“学”有机地结合起来，才能真正促进学生的健康发展，推动</w:t>
      </w:r>
      <w:r>
        <w:rPr>
          <w:spacing w:val="2"/>
        </w:rPr>
        <w:t>课堂教学关系的深度调整和人才培养模式的重大变革，引领教学理念、教学方式、评价体系、</w:t>
      </w:r>
      <w:r>
        <w:t>教学组织管理制度等全方位的变革，推动新课</w:t>
      </w:r>
      <w:r>
        <w:rPr>
          <w:spacing w:val="-1"/>
        </w:rPr>
        <w:t>改真实落地。</w:t>
      </w:r>
    </w:p>
    <w:p w14:paraId="323B0E7C">
      <w:pPr>
        <w:pStyle w:val="6"/>
        <w:spacing w:before="31" w:line="220" w:lineRule="auto"/>
        <w:ind w:left="559"/>
        <w:jc w:val="both"/>
        <w:outlineLvl w:val="1"/>
      </w:pPr>
      <w:r>
        <w:rPr>
          <w:b/>
          <w:bCs/>
          <w:spacing w:val="-2"/>
        </w:rPr>
        <w:t>2.素养本位，促进学生全面发展研究</w:t>
      </w:r>
    </w:p>
    <w:p w14:paraId="4FE45BEE">
      <w:pPr>
        <w:pStyle w:val="6"/>
        <w:spacing w:before="156" w:line="355" w:lineRule="auto"/>
        <w:ind w:left="110" w:right="277" w:firstLine="448"/>
        <w:jc w:val="both"/>
      </w:pPr>
      <w:r>
        <w:t>学生发展核心素养是落实立德树人根本任务的一项重要举措，核心素养是每</w:t>
      </w:r>
      <w:r>
        <w:rPr>
          <w:spacing w:val="-1"/>
        </w:rPr>
        <w:t>门学科中最</w:t>
      </w:r>
      <w:r>
        <w:t xml:space="preserve"> 基础的思想方法和关键能力，是学生创新精神、实践能力和社会责任的基石。坚持核心素养 导向不仅关注到了学科的视角和思想方法，而且关注到跨学科的关联和学科在真实世界中更 为宽泛的育人价值。各学科基于本学科的特色，提出了本学科的核心素养，并对本学科的核心概念、基本知识和能力素养进行了重新整合，重组教学内容，明确课程要求，指导教学评</w:t>
      </w:r>
      <w:r>
        <w:rPr>
          <w:spacing w:val="-1"/>
        </w:rPr>
        <w:t>价，最终，在素养导向的学习体系中，引领每一名学生从浅层学习走向深度学习。</w:t>
      </w:r>
    </w:p>
    <w:p w14:paraId="4B82964B">
      <w:pPr>
        <w:pStyle w:val="6"/>
        <w:spacing w:before="31" w:line="221" w:lineRule="auto"/>
        <w:ind w:left="561"/>
        <w:outlineLvl w:val="1"/>
      </w:pPr>
      <w:r>
        <w:rPr>
          <w:b/>
          <w:bCs/>
          <w:spacing w:val="-2"/>
        </w:rPr>
        <w:t>3.深度教研，提高教师高级教学能力</w:t>
      </w:r>
    </w:p>
    <w:p w14:paraId="547C5445">
      <w:pPr>
        <w:pStyle w:val="6"/>
        <w:spacing w:before="159" w:line="355" w:lineRule="auto"/>
        <w:ind w:left="109" w:right="277" w:firstLine="445"/>
        <w:jc w:val="both"/>
      </w:pPr>
      <w:r>
        <w:t>面向与胜任未来教育需要关注和发展教师的核心素养及高级教学能力，教师除了承</w:t>
      </w:r>
      <w:r>
        <w:rPr>
          <w:spacing w:val="-1"/>
        </w:rPr>
        <w:t>载人</w:t>
      </w:r>
      <w:r>
        <w:t xml:space="preserve">才培养的使命，更担负着教育教学领域内的科研工作。开发学科实践活动案例，本身也是教 师专业自主实践的良好契机。教师不仅要弄清本学科的内在逻辑，还要将学生、学科与社会 实践议题有机融合，形成更加富有生命色彩和真实生活价值的理解；开发跨学科主题的实践 活动，也会催生不同学科教师开展跨学科的联合教研，培养教师的跨学科意向、认知、应用 以及技术应用能力，让面向未来的教师由教学型逐渐向研究型教师转变，让学校不同学科的 </w:t>
      </w:r>
      <w:r>
        <w:rPr>
          <w:spacing w:val="-1"/>
        </w:rPr>
        <w:t>教师真正成为有密切学术业务合作的教师团队。</w:t>
      </w:r>
    </w:p>
    <w:p w14:paraId="748C9403">
      <w:pPr>
        <w:pStyle w:val="6"/>
        <w:keepNext w:val="0"/>
        <w:keepLines w:val="0"/>
        <w:pageBreakBefore w:val="0"/>
        <w:widowControl/>
        <w:kinsoku w:val="0"/>
        <w:wordWrap/>
        <w:overflowPunct/>
        <w:topLinePunct w:val="0"/>
        <w:autoSpaceDE w:val="0"/>
        <w:autoSpaceDN w:val="0"/>
        <w:bidi w:val="0"/>
        <w:adjustRightInd w:val="0"/>
        <w:snapToGrid w:val="0"/>
        <w:spacing w:before="30" w:line="360" w:lineRule="auto"/>
        <w:ind w:left="556"/>
        <w:textAlignment w:val="baseline"/>
        <w:outlineLvl w:val="1"/>
      </w:pPr>
      <w:r>
        <w:rPr>
          <w:b/>
          <w:bCs/>
          <w:spacing w:val="-2"/>
        </w:rPr>
        <w:t>4.强化学科实践，开展项目式学习</w:t>
      </w:r>
    </w:p>
    <w:p w14:paraId="08504571">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pPr>
      <w:r>
        <w:t>各学科的新课标在“教学提示”和“教学建</w:t>
      </w:r>
      <w:r>
        <w:rPr>
          <w:spacing w:val="-1"/>
        </w:rPr>
        <w:t>议”中都提出了大量的实践性活动的要求。</w:t>
      </w:r>
      <w:r>
        <w:rPr>
          <w:spacing w:val="2"/>
        </w:rPr>
        <w:t>学科实践不仅要去“做”，不仅包含技能，也包含着“学”，包含对知识的深度理解和反思。</w:t>
      </w:r>
      <w:r>
        <w:rPr>
          <w:spacing w:val="4"/>
        </w:rPr>
        <w:t xml:space="preserve"> </w:t>
      </w:r>
      <w:r>
        <w:rPr>
          <w:spacing w:val="-1"/>
        </w:rPr>
        <w:t>同时，义务教育新课程致力于改变零散学习、单科割裂学习的样态，促进学生学习的跨学科</w:t>
      </w:r>
      <w:r>
        <w:t>综合学科实践。项目式学习作为推进核心素养导向的教学改革的有效策略之一，很</w:t>
      </w:r>
      <w:r>
        <w:rPr>
          <w:spacing w:val="-1"/>
        </w:rPr>
        <w:t>好的关注</w:t>
      </w:r>
      <w:r>
        <w:t>到了“做”和“学”的关系，通过围绕挑战性的学习主题，提出问题，深度参与探究，通过 对核心知识的学习，关注学生情感、思维与学科能力的全方位发展，提升核心素养。</w:t>
      </w:r>
    </w:p>
    <w:p w14:paraId="033E658B">
      <w:pPr>
        <w:spacing w:line="245" w:lineRule="auto"/>
        <w:rPr>
          <w:rFonts w:ascii="Arial"/>
          <w:sz w:val="21"/>
        </w:rPr>
      </w:pPr>
    </w:p>
    <w:p w14:paraId="65B1106D">
      <w:pPr>
        <w:spacing w:line="245" w:lineRule="auto"/>
        <w:rPr>
          <w:rFonts w:ascii="Arial"/>
          <w:sz w:val="21"/>
        </w:rPr>
      </w:pPr>
    </w:p>
    <w:p w14:paraId="66E2B91D">
      <w:pPr>
        <w:pStyle w:val="6"/>
        <w:spacing w:before="102" w:line="226" w:lineRule="auto"/>
        <w:ind w:left="114"/>
        <w:outlineLvl w:val="0"/>
        <w:rPr>
          <w:sz w:val="31"/>
          <w:szCs w:val="31"/>
        </w:rPr>
      </w:pPr>
      <w:r>
        <w:rPr>
          <w:b/>
          <w:bCs/>
          <w:spacing w:val="6"/>
          <w:sz w:val="31"/>
          <w:szCs w:val="31"/>
        </w:rPr>
        <w:t>三、课题专</w:t>
      </w:r>
      <w:r>
        <w:rPr>
          <w:rFonts w:hint="eastAsia"/>
          <w:b/>
          <w:bCs/>
          <w:spacing w:val="6"/>
          <w:sz w:val="31"/>
          <w:szCs w:val="31"/>
          <w:lang w:val="en-US" w:eastAsia="zh-CN"/>
        </w:rPr>
        <w:t>家</w:t>
      </w:r>
      <w:r>
        <w:rPr>
          <w:b/>
          <w:bCs/>
          <w:spacing w:val="6"/>
          <w:sz w:val="31"/>
          <w:szCs w:val="31"/>
        </w:rPr>
        <w:t>组</w:t>
      </w:r>
    </w:p>
    <w:p w14:paraId="22E84D4B">
      <w:pPr>
        <w:pStyle w:val="6"/>
        <w:spacing w:before="162" w:line="346" w:lineRule="auto"/>
        <w:ind w:left="112" w:right="530" w:firstLine="420"/>
      </w:pPr>
      <w:r>
        <w:rPr>
          <w:spacing w:val="-6"/>
        </w:rPr>
        <w:t>为了加强对子课题的指导力度，使试验得以顺利的进行，本课题将联合北京</w:t>
      </w:r>
      <w:r>
        <w:rPr>
          <w:spacing w:val="-7"/>
        </w:rPr>
        <w:t>师范大学组</w:t>
      </w:r>
      <w:r>
        <w:t xml:space="preserve"> </w:t>
      </w:r>
      <w:r>
        <w:rPr>
          <w:spacing w:val="-2"/>
        </w:rPr>
        <w:t>成联合的总课题组，总课题组结构如下：</w:t>
      </w:r>
    </w:p>
    <w:p w14:paraId="76725D5F">
      <w:pPr>
        <w:pStyle w:val="6"/>
        <w:spacing w:before="58" w:line="224" w:lineRule="auto"/>
        <w:ind w:left="24"/>
        <w:rPr>
          <w:b/>
          <w:bCs/>
          <w:spacing w:val="-16"/>
        </w:rPr>
      </w:pPr>
      <w:r>
        <w:rPr>
          <w:b/>
          <w:bCs/>
          <w:spacing w:val="-16"/>
        </w:rPr>
        <w:t>顾</w:t>
      </w:r>
      <w:r>
        <w:rPr>
          <w:rFonts w:hint="eastAsia"/>
          <w:b/>
          <w:bCs/>
          <w:spacing w:val="-16"/>
          <w:lang w:val="en-US" w:eastAsia="zh-CN"/>
        </w:rPr>
        <w:t xml:space="preserve">  </w:t>
      </w:r>
      <w:r>
        <w:rPr>
          <w:b/>
          <w:bCs/>
          <w:spacing w:val="-16"/>
        </w:rPr>
        <w:t>问：</w:t>
      </w:r>
    </w:p>
    <w:p w14:paraId="7FFFAC83">
      <w:pPr>
        <w:pStyle w:val="6"/>
        <w:spacing w:before="156" w:line="220" w:lineRule="auto"/>
      </w:pPr>
      <w:r>
        <w:rPr>
          <w:spacing w:val="-2"/>
        </w:rPr>
        <w:t>余胜泉  北京师范大学教授、博士生导师，未来教育高精尖创新中心执</w:t>
      </w:r>
      <w:r>
        <w:rPr>
          <w:spacing w:val="-3"/>
        </w:rPr>
        <w:t>行主任</w:t>
      </w:r>
    </w:p>
    <w:p w14:paraId="0FD9ABBB">
      <w:pPr>
        <w:pStyle w:val="6"/>
        <w:spacing w:before="58" w:line="224" w:lineRule="auto"/>
        <w:ind w:left="24"/>
      </w:pPr>
      <w:r>
        <w:rPr>
          <w:b/>
          <w:bCs/>
          <w:spacing w:val="-16"/>
        </w:rPr>
        <w:t>组</w:t>
      </w:r>
      <w:r>
        <w:rPr>
          <w:spacing w:val="6"/>
        </w:rPr>
        <w:t xml:space="preserve"> </w:t>
      </w:r>
      <w:r>
        <w:rPr>
          <w:b/>
          <w:bCs/>
          <w:spacing w:val="-16"/>
        </w:rPr>
        <w:t>长：</w:t>
      </w:r>
    </w:p>
    <w:p w14:paraId="10E8B837">
      <w:pPr>
        <w:pStyle w:val="6"/>
        <w:spacing w:before="155" w:line="345" w:lineRule="auto"/>
        <w:ind w:left="25" w:firstLine="3"/>
      </w:pPr>
      <w:r>
        <w:rPr>
          <w:spacing w:val="-1"/>
        </w:rPr>
        <w:t>马  宁  北京师范大学教授、博士生导师，“移动学习”教育部-中国移动联合实验室副主任，</w:t>
      </w:r>
      <w:r>
        <w:rPr>
          <w:spacing w:val="9"/>
        </w:rPr>
        <w:t xml:space="preserve"> </w:t>
      </w:r>
      <w:r>
        <w:rPr>
          <w:spacing w:val="-3"/>
        </w:rPr>
        <w:t>北京师范大学未来教育高精尖创新中心项目首席</w:t>
      </w:r>
    </w:p>
    <w:p w14:paraId="26899E42">
      <w:pPr>
        <w:pStyle w:val="6"/>
        <w:spacing w:before="31" w:line="222" w:lineRule="auto"/>
        <w:ind w:left="23"/>
      </w:pPr>
      <w:r>
        <w:rPr>
          <w:b/>
          <w:bCs/>
          <w:spacing w:val="-17"/>
        </w:rPr>
        <w:t>成</w:t>
      </w:r>
      <w:r>
        <w:rPr>
          <w:spacing w:val="14"/>
        </w:rPr>
        <w:t xml:space="preserve"> </w:t>
      </w:r>
      <w:r>
        <w:rPr>
          <w:b/>
          <w:bCs/>
          <w:spacing w:val="-17"/>
        </w:rPr>
        <w:t>员：</w:t>
      </w:r>
    </w:p>
    <w:p w14:paraId="38C1229F">
      <w:pPr>
        <w:pStyle w:val="6"/>
        <w:spacing w:before="155" w:line="220" w:lineRule="auto"/>
        <w:ind w:left="23"/>
      </w:pPr>
      <w:r>
        <w:rPr>
          <w:spacing w:val="-2"/>
        </w:rPr>
        <w:t>吴  娟  北京师范大学副教授、硕士生导师，未来教育高精尖创新中心项</w:t>
      </w:r>
      <w:r>
        <w:rPr>
          <w:spacing w:val="-3"/>
        </w:rPr>
        <w:t>目首席专家</w:t>
      </w:r>
    </w:p>
    <w:p w14:paraId="1B862EDE">
      <w:pPr>
        <w:pStyle w:val="6"/>
        <w:spacing w:before="157" w:line="220" w:lineRule="auto"/>
        <w:ind w:left="33"/>
      </w:pPr>
      <w:r>
        <w:rPr>
          <w:spacing w:val="-2"/>
        </w:rPr>
        <w:t>陈  玲  北京师范大学副教授、硕士生导师，未来教育高精</w:t>
      </w:r>
      <w:r>
        <w:rPr>
          <w:spacing w:val="-3"/>
        </w:rPr>
        <w:t>尖创新中心融合应用实验室主任</w:t>
      </w:r>
    </w:p>
    <w:p w14:paraId="2043FCFE">
      <w:pPr>
        <w:pStyle w:val="6"/>
        <w:spacing w:before="157" w:line="220" w:lineRule="auto"/>
        <w:ind w:left="24"/>
      </w:pPr>
      <w:r>
        <w:rPr>
          <w:spacing w:val="-2"/>
        </w:rPr>
        <w:t>卢  宇  北京师范大学副教授、博士生导师，未来教育高精尖中心人工智能</w:t>
      </w:r>
      <w:r>
        <w:rPr>
          <w:spacing w:val="-3"/>
        </w:rPr>
        <w:t>实验室主任</w:t>
      </w:r>
    </w:p>
    <w:p w14:paraId="68328FC8">
      <w:pPr>
        <w:pStyle w:val="6"/>
        <w:spacing w:before="158" w:line="220" w:lineRule="auto"/>
        <w:ind w:left="23"/>
      </w:pPr>
      <w:r>
        <w:rPr>
          <w:spacing w:val="-2"/>
        </w:rPr>
        <w:t>李晓庆  未来教育高精尖创新中心学科教育实验室</w:t>
      </w:r>
      <w:r>
        <w:rPr>
          <w:spacing w:val="-3"/>
        </w:rPr>
        <w:t>主任</w:t>
      </w:r>
    </w:p>
    <w:p w14:paraId="2D1FB2DE">
      <w:pPr>
        <w:pStyle w:val="6"/>
        <w:spacing w:before="158" w:line="220" w:lineRule="auto"/>
        <w:ind w:left="27"/>
      </w:pPr>
      <w:r>
        <w:rPr>
          <w:spacing w:val="-3"/>
        </w:rPr>
        <w:t>张  翔  未来教育高精尖创新中心合作发展办公室主任</w:t>
      </w:r>
    </w:p>
    <w:p w14:paraId="05B70B1E">
      <w:pPr>
        <w:pStyle w:val="6"/>
        <w:spacing w:before="158" w:line="220" w:lineRule="auto"/>
        <w:ind w:left="23"/>
      </w:pPr>
      <w:r>
        <w:rPr>
          <w:spacing w:val="-2"/>
        </w:rPr>
        <w:t>崔京菁  未来教育高精尖创新中心学习科学</w:t>
      </w:r>
      <w:r>
        <w:rPr>
          <w:spacing w:val="-3"/>
        </w:rPr>
        <w:t>实验室主任</w:t>
      </w:r>
    </w:p>
    <w:p w14:paraId="479D1176">
      <w:pPr>
        <w:pStyle w:val="6"/>
        <w:spacing w:before="160" w:line="220" w:lineRule="auto"/>
        <w:ind w:left="33"/>
      </w:pPr>
      <w:r>
        <w:rPr>
          <w:spacing w:val="-3"/>
        </w:rPr>
        <w:t>陈鹏鹤  未来教育高精尖创新中心人工智能实验室副主任</w:t>
      </w:r>
    </w:p>
    <w:p w14:paraId="6FCE63BB">
      <w:pPr>
        <w:pStyle w:val="6"/>
        <w:spacing w:before="158" w:line="220" w:lineRule="auto"/>
        <w:ind w:left="27"/>
      </w:pPr>
      <w:r>
        <w:rPr>
          <w:spacing w:val="-3"/>
        </w:rPr>
        <w:t>高梦楠  未来教育高精尖创新中心智能平台实验室主任</w:t>
      </w:r>
    </w:p>
    <w:p w14:paraId="6F764319">
      <w:pPr>
        <w:pStyle w:val="6"/>
        <w:spacing w:before="158" w:line="220" w:lineRule="auto"/>
        <w:ind w:left="23"/>
      </w:pPr>
      <w:r>
        <w:rPr>
          <w:rFonts w:hint="eastAsia"/>
          <w:spacing w:val="-2"/>
          <w:lang w:val="en-US" w:eastAsia="zh-CN"/>
        </w:rPr>
        <w:t>刘春旸</w:t>
      </w:r>
      <w:r>
        <w:rPr>
          <w:spacing w:val="-2"/>
        </w:rPr>
        <w:t xml:space="preserve">  未来教育高精尖创新中心</w:t>
      </w:r>
      <w:r>
        <w:rPr>
          <w:rFonts w:hint="eastAsia"/>
          <w:spacing w:val="-2"/>
          <w:lang w:val="en-US" w:eastAsia="zh-CN"/>
        </w:rPr>
        <w:t>学习科学</w:t>
      </w:r>
      <w:r>
        <w:rPr>
          <w:spacing w:val="-2"/>
        </w:rPr>
        <w:t>实验室</w:t>
      </w:r>
      <w:r>
        <w:rPr>
          <w:spacing w:val="-3"/>
        </w:rPr>
        <w:t>助理教研员</w:t>
      </w:r>
    </w:p>
    <w:p w14:paraId="5B942506">
      <w:pPr>
        <w:pStyle w:val="6"/>
        <w:spacing w:before="157" w:line="220" w:lineRule="auto"/>
        <w:ind w:left="33"/>
      </w:pPr>
      <w:r>
        <w:rPr>
          <w:rFonts w:hint="eastAsia"/>
          <w:spacing w:val="-3"/>
          <w:lang w:val="en-US" w:eastAsia="zh-CN"/>
        </w:rPr>
        <w:t>林宇航</w:t>
      </w:r>
      <w:r>
        <w:rPr>
          <w:spacing w:val="-3"/>
        </w:rPr>
        <w:t xml:space="preserve">  未来教育高精尖创新中心</w:t>
      </w:r>
      <w:r>
        <w:rPr>
          <w:rFonts w:hint="eastAsia"/>
          <w:spacing w:val="-3"/>
          <w:lang w:val="en-US" w:eastAsia="zh-CN"/>
        </w:rPr>
        <w:t>学习科学</w:t>
      </w:r>
      <w:r>
        <w:rPr>
          <w:spacing w:val="-3"/>
        </w:rPr>
        <w:t>实验室助理教研员</w:t>
      </w:r>
    </w:p>
    <w:p w14:paraId="597E99F5">
      <w:pPr>
        <w:spacing w:line="310" w:lineRule="auto"/>
        <w:rPr>
          <w:rFonts w:ascii="Arial"/>
          <w:sz w:val="21"/>
        </w:rPr>
      </w:pPr>
    </w:p>
    <w:p w14:paraId="13E2D538">
      <w:pPr>
        <w:spacing w:line="310" w:lineRule="auto"/>
        <w:rPr>
          <w:rFonts w:ascii="Arial"/>
          <w:sz w:val="21"/>
        </w:rPr>
      </w:pPr>
    </w:p>
    <w:p w14:paraId="38E4C94D">
      <w:pPr>
        <w:pStyle w:val="6"/>
        <w:spacing w:before="102" w:line="225" w:lineRule="auto"/>
        <w:ind w:left="56"/>
        <w:outlineLvl w:val="0"/>
        <w:rPr>
          <w:sz w:val="31"/>
          <w:szCs w:val="31"/>
        </w:rPr>
      </w:pPr>
      <w:r>
        <w:rPr>
          <w:b/>
          <w:bCs/>
          <w:sz w:val="31"/>
          <w:szCs w:val="31"/>
        </w:rPr>
        <w:t>四、开放对象</w:t>
      </w:r>
    </w:p>
    <w:p w14:paraId="2C0EAC2E">
      <w:pPr>
        <w:pStyle w:val="6"/>
        <w:spacing w:before="262" w:line="366" w:lineRule="auto"/>
        <w:ind w:left="24" w:right="576" w:firstLine="437"/>
        <w:rPr>
          <w:spacing w:val="-3"/>
        </w:rPr>
      </w:pPr>
      <w:r>
        <w:rPr>
          <w:spacing w:val="-3"/>
        </w:rPr>
        <w:t>中小学教师，高校与科研院所、科技场馆、青少年宫、青少年活动中心、科技教育机</w:t>
      </w:r>
      <w:r>
        <w:rPr>
          <w:spacing w:val="12"/>
        </w:rPr>
        <w:t xml:space="preserve"> </w:t>
      </w:r>
      <w:r>
        <w:rPr>
          <w:spacing w:val="-3"/>
        </w:rPr>
        <w:t>构、社会团体、企事业单位中的专业人员。</w:t>
      </w:r>
    </w:p>
    <w:p w14:paraId="15177585">
      <w:pPr>
        <w:pStyle w:val="6"/>
        <w:spacing w:before="184" w:line="225" w:lineRule="auto"/>
        <w:ind w:left="31"/>
        <w:outlineLvl w:val="0"/>
        <w:rPr>
          <w:sz w:val="31"/>
          <w:szCs w:val="31"/>
        </w:rPr>
      </w:pPr>
      <w:r>
        <w:rPr>
          <w:b/>
          <w:bCs/>
          <w:spacing w:val="5"/>
          <w:sz w:val="31"/>
          <w:szCs w:val="31"/>
        </w:rPr>
        <w:t>五、课题方向与内容</w:t>
      </w:r>
    </w:p>
    <w:p w14:paraId="4D69CDEB">
      <w:pPr>
        <w:pStyle w:val="6"/>
        <w:spacing w:before="184" w:line="349" w:lineRule="auto"/>
        <w:ind w:left="22" w:right="373" w:firstLine="419"/>
        <w:jc w:val="both"/>
      </w:pPr>
      <w:r>
        <w:rPr>
          <w:spacing w:val="2"/>
        </w:rPr>
        <w:t>子课题选题可围绕新课标中“学科实践活动</w:t>
      </w:r>
      <w:r>
        <w:rPr>
          <w:spacing w:val="-74"/>
        </w:rPr>
        <w:t xml:space="preserve"> </w:t>
      </w:r>
      <w:r>
        <w:rPr>
          <w:spacing w:val="2"/>
        </w:rPr>
        <w:t>”“跨学科</w:t>
      </w:r>
      <w:r>
        <w:rPr>
          <w:spacing w:val="1"/>
        </w:rPr>
        <w:t>主题活动</w:t>
      </w:r>
      <w:r>
        <w:rPr>
          <w:spacing w:val="-75"/>
        </w:rPr>
        <w:t xml:space="preserve"> </w:t>
      </w:r>
      <w:r>
        <w:rPr>
          <w:spacing w:val="1"/>
        </w:rPr>
        <w:t>”“项目式学习协同育人研究</w:t>
      </w:r>
      <w:r>
        <w:rPr>
          <w:spacing w:val="-75"/>
        </w:rPr>
        <w:t xml:space="preserve"> </w:t>
      </w:r>
      <w:r>
        <w:rPr>
          <w:spacing w:val="1"/>
        </w:rPr>
        <w:t>”“学习支架设计与开发</w:t>
      </w:r>
      <w:r>
        <w:rPr>
          <w:spacing w:val="-73"/>
        </w:rPr>
        <w:t xml:space="preserve"> </w:t>
      </w:r>
      <w:r>
        <w:rPr>
          <w:spacing w:val="1"/>
        </w:rPr>
        <w:t>”“评价设计</w:t>
      </w:r>
      <w:r>
        <w:t>与研究</w:t>
      </w:r>
      <w:r>
        <w:rPr>
          <w:spacing w:val="-73"/>
        </w:rPr>
        <w:t xml:space="preserve"> </w:t>
      </w:r>
      <w:r>
        <w:t>”“</w:t>
      </w:r>
      <w:r>
        <w:rPr>
          <w:rFonts w:hint="eastAsia"/>
          <w:lang w:val="en-US" w:eastAsia="zh-CN"/>
        </w:rPr>
        <w:t>证据导向的项目式学习促进</w:t>
      </w:r>
      <w:r>
        <w:t>教师学科实践设计</w:t>
      </w:r>
      <w:r>
        <w:rPr>
          <w:spacing w:val="-2"/>
        </w:rPr>
        <w:t>能力发展</w:t>
      </w:r>
      <w:r>
        <w:rPr>
          <w:spacing w:val="-77"/>
        </w:rPr>
        <w:t xml:space="preserve"> </w:t>
      </w:r>
      <w:r>
        <w:rPr>
          <w:spacing w:val="-2"/>
        </w:rPr>
        <w:t>”“学科项目式学习</w:t>
      </w:r>
      <w:r>
        <w:rPr>
          <w:spacing w:val="-77"/>
        </w:rPr>
        <w:t xml:space="preserve"> </w:t>
      </w:r>
      <w:r>
        <w:rPr>
          <w:spacing w:val="-2"/>
        </w:rPr>
        <w:t>”</w:t>
      </w:r>
      <w:r>
        <w:rPr>
          <w:rFonts w:hint="eastAsia"/>
          <w:spacing w:val="-2"/>
          <w:lang w:eastAsia="zh-CN"/>
        </w:rPr>
        <w:t>“智能技术赋能项目式学习”“证据导向的项目式学习系统（EPBL平台）”</w:t>
      </w:r>
      <w:r>
        <w:rPr>
          <w:spacing w:val="-2"/>
        </w:rPr>
        <w:t>展开相关的理论与实践探索，包括但不</w:t>
      </w:r>
      <w:r>
        <w:rPr>
          <w:spacing w:val="-3"/>
        </w:rPr>
        <w:t>限于如下题目：</w:t>
      </w:r>
    </w:p>
    <w:p w14:paraId="20669589">
      <w:pPr>
        <w:pStyle w:val="6"/>
        <w:spacing w:before="85" w:line="220" w:lineRule="auto"/>
        <w:ind w:left="31"/>
        <w:outlineLvl w:val="2"/>
      </w:pPr>
      <w:r>
        <w:rPr>
          <w:b/>
          <w:bCs/>
          <w:spacing w:val="-5"/>
          <w:sz w:val="18"/>
          <w:szCs w:val="18"/>
        </w:rPr>
        <w:t>（1）</w:t>
      </w:r>
      <w:r>
        <w:rPr>
          <w:spacing w:val="-5"/>
          <w:sz w:val="18"/>
          <w:szCs w:val="18"/>
        </w:rPr>
        <w:t xml:space="preserve"> </w:t>
      </w:r>
      <w:r>
        <w:rPr>
          <w:b/>
          <w:bCs/>
          <w:spacing w:val="-5"/>
        </w:rPr>
        <w:t>基于学科内容统整的研究设计：</w:t>
      </w:r>
    </w:p>
    <w:p w14:paraId="439F5F6D">
      <w:pPr>
        <w:pStyle w:val="6"/>
        <w:spacing w:before="64" w:line="220" w:lineRule="auto"/>
        <w:ind w:left="175"/>
      </w:pPr>
      <w:r>
        <w:rPr>
          <w:rFonts w:ascii="Wingdings" w:hAnsi="Wingdings" w:eastAsia="Wingdings" w:cs="Wingdings"/>
          <w:spacing w:val="-3"/>
        </w:rPr>
        <w:t>l</w:t>
      </w:r>
      <w:r>
        <w:rPr>
          <w:rFonts w:ascii="Wingdings" w:hAnsi="Wingdings" w:eastAsia="Wingdings" w:cs="Wingdings"/>
          <w:spacing w:val="71"/>
        </w:rPr>
        <w:t xml:space="preserve"> </w:t>
      </w:r>
      <w:r>
        <w:rPr>
          <w:spacing w:val="-3"/>
        </w:rPr>
        <w:t>基于新课标学科/课程核心素养的学科实践活动设计与实践</w:t>
      </w:r>
    </w:p>
    <w:p w14:paraId="50971C8A">
      <w:pPr>
        <w:pStyle w:val="6"/>
        <w:spacing w:before="64" w:line="220" w:lineRule="auto"/>
        <w:ind w:left="175"/>
      </w:pPr>
      <w:r>
        <w:rPr>
          <w:rFonts w:ascii="Wingdings" w:hAnsi="Wingdings" w:eastAsia="Wingdings" w:cs="Wingdings"/>
          <w:spacing w:val="-2"/>
        </w:rPr>
        <w:t>l</w:t>
      </w:r>
      <w:r>
        <w:rPr>
          <w:rFonts w:ascii="Wingdings" w:hAnsi="Wingdings" w:eastAsia="Wingdings" w:cs="Wingdings"/>
          <w:spacing w:val="80"/>
        </w:rPr>
        <w:t xml:space="preserve"> </w:t>
      </w:r>
      <w:r>
        <w:rPr>
          <w:spacing w:val="-2"/>
        </w:rPr>
        <w:t>基于深度学习的学科实践活动设计与研究</w:t>
      </w:r>
    </w:p>
    <w:p w14:paraId="0E989312">
      <w:pPr>
        <w:pStyle w:val="6"/>
        <w:spacing w:before="67" w:line="220" w:lineRule="auto"/>
        <w:ind w:left="175"/>
      </w:pPr>
      <w:r>
        <w:rPr>
          <w:rFonts w:ascii="Wingdings" w:hAnsi="Wingdings" w:eastAsia="Wingdings" w:cs="Wingdings"/>
          <w:spacing w:val="-2"/>
        </w:rPr>
        <w:t>l</w:t>
      </w:r>
      <w:r>
        <w:rPr>
          <w:rFonts w:ascii="Wingdings" w:hAnsi="Wingdings" w:eastAsia="Wingdings" w:cs="Wingdings"/>
          <w:spacing w:val="63"/>
        </w:rPr>
        <w:t xml:space="preserve"> </w:t>
      </w:r>
      <w:r>
        <w:rPr>
          <w:spacing w:val="-2"/>
        </w:rPr>
        <w:t>基于项目式学习的学科实践活动设计与实施</w:t>
      </w:r>
    </w:p>
    <w:p w14:paraId="1AAD3162">
      <w:pPr>
        <w:pStyle w:val="6"/>
        <w:spacing w:before="64" w:line="220" w:lineRule="auto"/>
        <w:ind w:left="175"/>
      </w:pPr>
      <w:r>
        <w:rPr>
          <w:rFonts w:ascii="Wingdings" w:hAnsi="Wingdings" w:eastAsia="Wingdings" w:cs="Wingdings"/>
          <w:spacing w:val="-3"/>
        </w:rPr>
        <w:t>l</w:t>
      </w:r>
      <w:r>
        <w:rPr>
          <w:rFonts w:ascii="Wingdings" w:hAnsi="Wingdings" w:eastAsia="Wingdings" w:cs="Wingdings"/>
          <w:spacing w:val="78"/>
        </w:rPr>
        <w:t xml:space="preserve"> </w:t>
      </w:r>
      <w:r>
        <w:rPr>
          <w:spacing w:val="-3"/>
        </w:rPr>
        <w:t>证据导向的学科项目式学习设计与实践</w:t>
      </w:r>
    </w:p>
    <w:p w14:paraId="70408444">
      <w:pPr>
        <w:pStyle w:val="6"/>
        <w:spacing w:before="66" w:line="221" w:lineRule="auto"/>
        <w:ind w:left="175"/>
        <w:rPr>
          <w:spacing w:val="-2"/>
        </w:rPr>
      </w:pPr>
      <w:r>
        <w:rPr>
          <w:rFonts w:ascii="Wingdings" w:hAnsi="Wingdings" w:eastAsia="Wingdings" w:cs="Wingdings"/>
          <w:spacing w:val="-2"/>
        </w:rPr>
        <w:t>l</w:t>
      </w:r>
      <w:r>
        <w:rPr>
          <w:rFonts w:ascii="Wingdings" w:hAnsi="Wingdings" w:eastAsia="Wingdings" w:cs="Wingdings"/>
          <w:spacing w:val="63"/>
        </w:rPr>
        <w:t xml:space="preserve"> </w:t>
      </w:r>
      <w:r>
        <w:rPr>
          <w:spacing w:val="-2"/>
        </w:rPr>
        <w:t>基于单元整体教学的项目式学习设计与实践</w:t>
      </w:r>
    </w:p>
    <w:p w14:paraId="49686864">
      <w:pPr>
        <w:pStyle w:val="6"/>
        <w:spacing w:before="65" w:line="277" w:lineRule="auto"/>
        <w:ind w:left="450" w:right="3924" w:hanging="275"/>
      </w:pPr>
      <w:r>
        <w:t xml:space="preserve"> </w:t>
      </w:r>
      <w:r>
        <w:rPr>
          <w:spacing w:val="-26"/>
        </w:rPr>
        <w:t>……</w:t>
      </w:r>
    </w:p>
    <w:p w14:paraId="32A4757D">
      <w:pPr>
        <w:pStyle w:val="6"/>
        <w:spacing w:before="1" w:line="219" w:lineRule="auto"/>
        <w:ind w:left="31"/>
        <w:outlineLvl w:val="2"/>
      </w:pPr>
      <w:r>
        <w:rPr>
          <w:b/>
          <w:bCs/>
          <w:spacing w:val="-5"/>
          <w:sz w:val="18"/>
          <w:szCs w:val="18"/>
        </w:rPr>
        <w:t>（2）</w:t>
      </w:r>
      <w:r>
        <w:rPr>
          <w:spacing w:val="-5"/>
          <w:sz w:val="18"/>
          <w:szCs w:val="18"/>
        </w:rPr>
        <w:t xml:space="preserve"> </w:t>
      </w:r>
      <w:r>
        <w:rPr>
          <w:b/>
          <w:bCs/>
          <w:spacing w:val="-5"/>
        </w:rPr>
        <w:t>基于跨学科主题活动的研究设计：</w:t>
      </w:r>
    </w:p>
    <w:p w14:paraId="735CCB92">
      <w:pPr>
        <w:pStyle w:val="6"/>
        <w:spacing w:before="64" w:line="220" w:lineRule="auto"/>
        <w:ind w:left="173"/>
        <w:rPr>
          <w:rFonts w:hint="eastAsia" w:eastAsia="宋体"/>
          <w:lang w:eastAsia="zh-CN"/>
        </w:rPr>
      </w:pPr>
      <w:r>
        <w:rPr>
          <w:rFonts w:ascii="Wingdings" w:hAnsi="Wingdings" w:eastAsia="Wingdings" w:cs="Wingdings"/>
          <w:spacing w:val="-2"/>
        </w:rPr>
        <w:t>l</w:t>
      </w:r>
      <w:r>
        <w:rPr>
          <w:rFonts w:ascii="Wingdings" w:hAnsi="Wingdings" w:eastAsia="Wingdings" w:cs="Wingdings"/>
          <w:spacing w:val="-78"/>
        </w:rPr>
        <w:t xml:space="preserve"> </w:t>
      </w:r>
      <w:r>
        <w:rPr>
          <w:spacing w:val="-2"/>
        </w:rPr>
        <w:t>基于核心素养的跨学科主题项目式学习设计与实践</w:t>
      </w:r>
    </w:p>
    <w:p w14:paraId="2A4112A9">
      <w:pPr>
        <w:pStyle w:val="6"/>
        <w:spacing w:before="64" w:line="220" w:lineRule="auto"/>
        <w:ind w:left="173"/>
      </w:pPr>
      <w:r>
        <w:rPr>
          <w:rFonts w:ascii="Wingdings" w:hAnsi="Wingdings" w:eastAsia="Wingdings" w:cs="Wingdings"/>
          <w:spacing w:val="-3"/>
        </w:rPr>
        <w:t>l</w:t>
      </w:r>
      <w:r>
        <w:rPr>
          <w:rFonts w:ascii="Wingdings" w:hAnsi="Wingdings" w:eastAsia="Wingdings" w:cs="Wingdings"/>
          <w:spacing w:val="-66"/>
        </w:rPr>
        <w:t xml:space="preserve"> </w:t>
      </w:r>
      <w:r>
        <w:rPr>
          <w:spacing w:val="-3"/>
        </w:rPr>
        <w:t>基于项目式学习的校本课程设计与实践</w:t>
      </w:r>
    </w:p>
    <w:p w14:paraId="41A47235">
      <w:pPr>
        <w:pStyle w:val="6"/>
        <w:spacing w:before="64" w:line="221" w:lineRule="auto"/>
        <w:ind w:left="173"/>
      </w:pPr>
      <w:r>
        <w:rPr>
          <w:rFonts w:ascii="Wingdings" w:hAnsi="Wingdings" w:eastAsia="Wingdings" w:cs="Wingdings"/>
          <w:spacing w:val="-4"/>
        </w:rPr>
        <w:t>l</w:t>
      </w:r>
      <w:r>
        <w:rPr>
          <w:rFonts w:ascii="Wingdings" w:hAnsi="Wingdings" w:eastAsia="Wingdings" w:cs="Wingdings"/>
          <w:spacing w:val="-76"/>
        </w:rPr>
        <w:t xml:space="preserve"> </w:t>
      </w:r>
      <w:r>
        <w:rPr>
          <w:spacing w:val="-4"/>
        </w:rPr>
        <w:t>基于STEM的项目式学习教学设计与实践</w:t>
      </w:r>
    </w:p>
    <w:p w14:paraId="778568C0">
      <w:pPr>
        <w:pStyle w:val="6"/>
        <w:spacing w:before="68" w:line="220" w:lineRule="auto"/>
        <w:ind w:left="173"/>
      </w:pPr>
      <w:r>
        <w:rPr>
          <w:rFonts w:ascii="Wingdings" w:hAnsi="Wingdings" w:eastAsia="Wingdings" w:cs="Wingdings"/>
          <w:spacing w:val="-2"/>
        </w:rPr>
        <w:t>l</w:t>
      </w:r>
      <w:r>
        <w:rPr>
          <w:rFonts w:ascii="Wingdings" w:hAnsi="Wingdings" w:eastAsia="Wingdings" w:cs="Wingdings"/>
          <w:spacing w:val="-79"/>
        </w:rPr>
        <w:t xml:space="preserve"> </w:t>
      </w:r>
      <w:r>
        <w:rPr>
          <w:spacing w:val="-2"/>
        </w:rPr>
        <w:t>跨学科背景下证据导向的项目式学习设计与实践</w:t>
      </w:r>
    </w:p>
    <w:p w14:paraId="526E791B">
      <w:pPr>
        <w:pStyle w:val="6"/>
        <w:spacing w:before="64" w:line="220" w:lineRule="auto"/>
        <w:ind w:left="173"/>
      </w:pPr>
      <w:r>
        <w:rPr>
          <w:rFonts w:ascii="Wingdings" w:hAnsi="Wingdings" w:eastAsia="Wingdings" w:cs="Wingdings"/>
          <w:spacing w:val="-2"/>
        </w:rPr>
        <w:t>l</w:t>
      </w:r>
      <w:r>
        <w:rPr>
          <w:rFonts w:ascii="Wingdings" w:hAnsi="Wingdings" w:eastAsia="Wingdings" w:cs="Wingdings"/>
          <w:spacing w:val="-81"/>
        </w:rPr>
        <w:t xml:space="preserve"> </w:t>
      </w:r>
      <w:r>
        <w:rPr>
          <w:spacing w:val="-2"/>
        </w:rPr>
        <w:t>基于深度学习的跨学科项目式学习实践探索</w:t>
      </w:r>
    </w:p>
    <w:p w14:paraId="6F413B94">
      <w:pPr>
        <w:pStyle w:val="6"/>
        <w:spacing w:before="65" w:line="220" w:lineRule="auto"/>
        <w:ind w:left="173"/>
      </w:pPr>
      <w:r>
        <w:rPr>
          <w:rFonts w:ascii="Wingdings" w:hAnsi="Wingdings" w:eastAsia="Wingdings" w:cs="Wingdings"/>
          <w:spacing w:val="-2"/>
        </w:rPr>
        <w:t>l</w:t>
      </w:r>
      <w:r>
        <w:rPr>
          <w:rFonts w:ascii="Wingdings" w:hAnsi="Wingdings" w:eastAsia="Wingdings" w:cs="Wingdings"/>
          <w:spacing w:val="-60"/>
        </w:rPr>
        <w:t xml:space="preserve"> </w:t>
      </w:r>
      <w:r>
        <w:rPr>
          <w:spacing w:val="-2"/>
        </w:rPr>
        <w:t>混合学习环境下项目式学习的设计与实践研究</w:t>
      </w:r>
    </w:p>
    <w:p w14:paraId="42E2811E">
      <w:pPr>
        <w:pStyle w:val="6"/>
        <w:spacing w:before="57" w:line="317" w:lineRule="exact"/>
        <w:ind w:left="450"/>
      </w:pPr>
      <w:r>
        <w:rPr>
          <w:spacing w:val="-26"/>
          <w:position w:val="2"/>
        </w:rPr>
        <w:t>……</w:t>
      </w:r>
    </w:p>
    <w:p w14:paraId="6FE59A2A">
      <w:pPr>
        <w:pStyle w:val="6"/>
        <w:spacing w:line="219" w:lineRule="auto"/>
        <w:ind w:left="31"/>
        <w:outlineLvl w:val="2"/>
      </w:pPr>
      <w:r>
        <w:rPr>
          <w:b/>
          <w:bCs/>
          <w:spacing w:val="-5"/>
          <w:sz w:val="18"/>
          <w:szCs w:val="18"/>
        </w:rPr>
        <w:t>（3）</w:t>
      </w:r>
      <w:r>
        <w:rPr>
          <w:spacing w:val="-5"/>
          <w:sz w:val="18"/>
          <w:szCs w:val="18"/>
        </w:rPr>
        <w:t xml:space="preserve"> </w:t>
      </w:r>
      <w:r>
        <w:rPr>
          <w:b/>
          <w:bCs/>
          <w:spacing w:val="-5"/>
        </w:rPr>
        <w:t>基于项目式学习开展协同育人研究：</w:t>
      </w:r>
    </w:p>
    <w:p w14:paraId="3D520BB1">
      <w:pPr>
        <w:pStyle w:val="6"/>
        <w:spacing w:before="64" w:line="220" w:lineRule="auto"/>
        <w:ind w:left="173"/>
      </w:pPr>
      <w:r>
        <w:rPr>
          <w:rFonts w:ascii="Wingdings" w:hAnsi="Wingdings" w:eastAsia="Wingdings" w:cs="Wingdings"/>
          <w:spacing w:val="-2"/>
        </w:rPr>
        <w:t>l</w:t>
      </w:r>
      <w:r>
        <w:rPr>
          <w:rFonts w:ascii="Wingdings" w:hAnsi="Wingdings" w:eastAsia="Wingdings" w:cs="Wingdings"/>
          <w:spacing w:val="-80"/>
        </w:rPr>
        <w:t xml:space="preserve"> </w:t>
      </w:r>
      <w:r>
        <w:rPr>
          <w:spacing w:val="-2"/>
        </w:rPr>
        <w:t>家校合作提升学生学科核心素养的策略研究</w:t>
      </w:r>
    </w:p>
    <w:p w14:paraId="77DDC812">
      <w:pPr>
        <w:pStyle w:val="6"/>
        <w:spacing w:before="66" w:line="220" w:lineRule="auto"/>
        <w:ind w:left="173"/>
      </w:pPr>
      <w:r>
        <w:rPr>
          <w:rFonts w:ascii="Wingdings" w:hAnsi="Wingdings" w:eastAsia="Wingdings" w:cs="Wingdings"/>
          <w:spacing w:val="-2"/>
        </w:rPr>
        <w:t>l</w:t>
      </w:r>
      <w:r>
        <w:rPr>
          <w:rFonts w:ascii="Wingdings" w:hAnsi="Wingdings" w:eastAsia="Wingdings" w:cs="Wingdings"/>
          <w:spacing w:val="-68"/>
        </w:rPr>
        <w:t xml:space="preserve"> </w:t>
      </w:r>
      <w:r>
        <w:rPr>
          <w:spacing w:val="-2"/>
        </w:rPr>
        <w:t>基于项目式学习的家校共育策略研究</w:t>
      </w:r>
    </w:p>
    <w:p w14:paraId="32D4D66A">
      <w:pPr>
        <w:pStyle w:val="6"/>
        <w:spacing w:before="65" w:line="276" w:lineRule="auto"/>
        <w:ind w:left="450" w:right="4538" w:hanging="277"/>
      </w:pPr>
      <w:r>
        <w:rPr>
          <w:rFonts w:ascii="Wingdings" w:hAnsi="Wingdings" w:eastAsia="Wingdings" w:cs="Wingdings"/>
          <w:spacing w:val="-2"/>
        </w:rPr>
        <w:t>l</w:t>
      </w:r>
      <w:r>
        <w:rPr>
          <w:rFonts w:ascii="Wingdings" w:hAnsi="Wingdings" w:eastAsia="Wingdings" w:cs="Wingdings"/>
          <w:spacing w:val="-68"/>
        </w:rPr>
        <w:t xml:space="preserve"> </w:t>
      </w:r>
      <w:r>
        <w:rPr>
          <w:spacing w:val="-2"/>
        </w:rPr>
        <w:t>家校合作中项目式学习资源整合研究</w:t>
      </w:r>
      <w:r>
        <w:t xml:space="preserve"> </w:t>
      </w:r>
    </w:p>
    <w:p w14:paraId="26A9D306">
      <w:pPr>
        <w:pStyle w:val="6"/>
        <w:keepNext w:val="0"/>
        <w:keepLines w:val="0"/>
        <w:pageBreakBefore w:val="0"/>
        <w:widowControl/>
        <w:kinsoku w:val="0"/>
        <w:wordWrap/>
        <w:overflowPunct/>
        <w:topLinePunct w:val="0"/>
        <w:autoSpaceDE w:val="0"/>
        <w:autoSpaceDN w:val="0"/>
        <w:bidi w:val="0"/>
        <w:adjustRightInd w:val="0"/>
        <w:snapToGrid w:val="0"/>
        <w:spacing w:before="65" w:line="276" w:lineRule="auto"/>
        <w:ind w:left="275" w:leftChars="100" w:right="0" w:hanging="65" w:hangingChars="32"/>
        <w:textAlignment w:val="baseline"/>
        <w:rPr>
          <w:rFonts w:hint="eastAsia"/>
        </w:rPr>
      </w:pPr>
      <w:r>
        <w:rPr>
          <w:rFonts w:ascii="Wingdings" w:hAnsi="Wingdings" w:eastAsia="Wingdings" w:cs="Wingdings"/>
          <w:spacing w:val="-2"/>
        </w:rPr>
        <w:t>l</w:t>
      </w:r>
      <w:r>
        <w:rPr>
          <w:rFonts w:ascii="Wingdings" w:hAnsi="Wingdings" w:eastAsia="Wingdings" w:cs="Wingdings"/>
          <w:spacing w:val="-68"/>
        </w:rPr>
        <w:t xml:space="preserve"> </w:t>
      </w:r>
      <w:r>
        <w:rPr>
          <w:rFonts w:hint="eastAsia"/>
        </w:rPr>
        <w:t>基于STEM教育理念的馆校研学课程开发与实践</w:t>
      </w:r>
    </w:p>
    <w:p w14:paraId="3A1342FC">
      <w:pPr>
        <w:pStyle w:val="6"/>
        <w:keepNext w:val="0"/>
        <w:keepLines w:val="0"/>
        <w:pageBreakBefore w:val="0"/>
        <w:widowControl/>
        <w:kinsoku w:val="0"/>
        <w:wordWrap/>
        <w:overflowPunct/>
        <w:topLinePunct w:val="0"/>
        <w:autoSpaceDE w:val="0"/>
        <w:autoSpaceDN w:val="0"/>
        <w:bidi w:val="0"/>
        <w:adjustRightInd w:val="0"/>
        <w:snapToGrid w:val="0"/>
        <w:spacing w:before="65" w:line="276" w:lineRule="auto"/>
        <w:ind w:left="275" w:leftChars="100" w:right="0" w:hanging="65" w:hangingChars="32"/>
        <w:textAlignment w:val="baseline"/>
        <w:rPr>
          <w:rFonts w:hint="eastAsia"/>
        </w:rPr>
      </w:pPr>
      <w:r>
        <w:rPr>
          <w:rFonts w:ascii="Wingdings" w:hAnsi="Wingdings" w:eastAsia="Wingdings" w:cs="Wingdings"/>
          <w:spacing w:val="-2"/>
        </w:rPr>
        <w:t>l</w:t>
      </w:r>
      <w:r>
        <w:rPr>
          <w:rFonts w:hint="eastAsia" w:ascii="Wingdings" w:hAnsi="Wingdings" w:eastAsia="宋体" w:cs="Wingdings"/>
          <w:spacing w:val="-2"/>
          <w:lang w:val="en-US" w:eastAsia="zh-CN"/>
        </w:rPr>
        <w:t xml:space="preserve"> </w:t>
      </w:r>
      <w:r>
        <w:rPr>
          <w:rFonts w:hint="eastAsia" w:ascii="Wingdings" w:hAnsi="Wingdings" w:eastAsia="Wingdings" w:cs="Wingdings"/>
          <w:spacing w:val="-2"/>
        </w:rPr>
        <w:t>跨学科视角下的馆校合作：构建项目式学习的综合育人模式</w:t>
      </w:r>
    </w:p>
    <w:p w14:paraId="17E7B889">
      <w:pPr>
        <w:pStyle w:val="6"/>
        <w:spacing w:before="65" w:line="276" w:lineRule="auto"/>
        <w:ind w:left="430" w:leftChars="182" w:right="4538" w:hanging="48" w:hangingChars="31"/>
      </w:pPr>
      <w:r>
        <w:rPr>
          <w:spacing w:val="-26"/>
        </w:rPr>
        <w:t>……</w:t>
      </w:r>
    </w:p>
    <w:p w14:paraId="01555CEF">
      <w:pPr>
        <w:pStyle w:val="6"/>
        <w:spacing w:line="221" w:lineRule="auto"/>
        <w:ind w:left="31"/>
        <w:outlineLvl w:val="2"/>
      </w:pPr>
      <w:r>
        <w:rPr>
          <w:b/>
          <w:bCs/>
          <w:spacing w:val="-3"/>
          <w:sz w:val="18"/>
          <w:szCs w:val="18"/>
        </w:rPr>
        <w:t>（4）</w:t>
      </w:r>
      <w:r>
        <w:rPr>
          <w:spacing w:val="-3"/>
          <w:sz w:val="18"/>
          <w:szCs w:val="18"/>
        </w:rPr>
        <w:t xml:space="preserve"> </w:t>
      </w:r>
      <w:r>
        <w:rPr>
          <w:b/>
          <w:bCs/>
          <w:spacing w:val="-3"/>
        </w:rPr>
        <w:t>学习支架的设计与开发</w:t>
      </w:r>
    </w:p>
    <w:p w14:paraId="7845A477">
      <w:pPr>
        <w:pStyle w:val="6"/>
        <w:spacing w:before="66" w:line="221" w:lineRule="auto"/>
        <w:ind w:left="173"/>
      </w:pPr>
      <w:r>
        <w:rPr>
          <w:rFonts w:ascii="Wingdings" w:hAnsi="Wingdings" w:eastAsia="Wingdings" w:cs="Wingdings"/>
          <w:spacing w:val="-2"/>
        </w:rPr>
        <w:t>l</w:t>
      </w:r>
      <w:r>
        <w:rPr>
          <w:rFonts w:ascii="Wingdings" w:hAnsi="Wingdings" w:eastAsia="Wingdings" w:cs="Wingdings"/>
          <w:spacing w:val="-64"/>
        </w:rPr>
        <w:t xml:space="preserve"> </w:t>
      </w:r>
      <w:r>
        <w:rPr>
          <w:spacing w:val="-2"/>
        </w:rPr>
        <w:t>混合式学习情境下支架的设计与应用实践</w:t>
      </w:r>
    </w:p>
    <w:p w14:paraId="5EE307E6">
      <w:pPr>
        <w:pStyle w:val="6"/>
        <w:spacing w:before="65" w:line="220" w:lineRule="auto"/>
        <w:ind w:left="173"/>
      </w:pPr>
      <w:r>
        <w:rPr>
          <w:rFonts w:ascii="Wingdings" w:hAnsi="Wingdings" w:eastAsia="Wingdings" w:cs="Wingdings"/>
          <w:spacing w:val="-3"/>
        </w:rPr>
        <w:t>l</w:t>
      </w:r>
      <w:r>
        <w:rPr>
          <w:rFonts w:ascii="Wingdings" w:hAnsi="Wingdings" w:eastAsia="Wingdings" w:cs="Wingdings"/>
          <w:spacing w:val="-66"/>
        </w:rPr>
        <w:t xml:space="preserve"> </w:t>
      </w:r>
      <w:r>
        <w:rPr>
          <w:spacing w:val="-3"/>
        </w:rPr>
        <w:t>基于项目的在线协作学习支架策略研究</w:t>
      </w:r>
    </w:p>
    <w:p w14:paraId="25CBCF78">
      <w:pPr>
        <w:pStyle w:val="6"/>
        <w:spacing w:before="64" w:line="220" w:lineRule="auto"/>
        <w:ind w:left="173"/>
      </w:pPr>
      <w:r>
        <w:rPr>
          <w:rFonts w:ascii="Wingdings" w:hAnsi="Wingdings" w:eastAsia="Wingdings" w:cs="Wingdings"/>
          <w:spacing w:val="-3"/>
        </w:rPr>
        <w:t>l</w:t>
      </w:r>
      <w:r>
        <w:rPr>
          <w:rFonts w:ascii="Wingdings" w:hAnsi="Wingdings" w:eastAsia="Wingdings" w:cs="Wingdings"/>
          <w:spacing w:val="-66"/>
        </w:rPr>
        <w:t xml:space="preserve"> </w:t>
      </w:r>
      <w:r>
        <w:rPr>
          <w:spacing w:val="-3"/>
        </w:rPr>
        <w:t>项目式学习中促进深度学习的支架设计</w:t>
      </w:r>
    </w:p>
    <w:p w14:paraId="350A4F54">
      <w:pPr>
        <w:pStyle w:val="6"/>
        <w:spacing w:before="68" w:line="276" w:lineRule="auto"/>
        <w:ind w:left="450" w:right="4346" w:hanging="277"/>
        <w:rPr>
          <w:spacing w:val="-3"/>
        </w:rPr>
      </w:pPr>
      <w:r>
        <w:rPr>
          <w:rFonts w:ascii="Wingdings" w:hAnsi="Wingdings" w:eastAsia="Wingdings" w:cs="Wingdings"/>
          <w:spacing w:val="-3"/>
        </w:rPr>
        <w:t>l</w:t>
      </w:r>
      <w:r>
        <w:rPr>
          <w:rFonts w:ascii="Wingdings" w:hAnsi="Wingdings" w:eastAsia="Wingdings" w:cs="Wingdings"/>
          <w:spacing w:val="-66"/>
        </w:rPr>
        <w:t xml:space="preserve"> </w:t>
      </w:r>
      <w:r>
        <w:rPr>
          <w:spacing w:val="-3"/>
        </w:rPr>
        <w:t>跨学科主题活动中学习支架的设计研究</w:t>
      </w:r>
    </w:p>
    <w:p w14:paraId="1DD7D518">
      <w:pPr>
        <w:pStyle w:val="6"/>
        <w:keepNext w:val="0"/>
        <w:keepLines w:val="0"/>
        <w:pageBreakBefore w:val="0"/>
        <w:widowControl/>
        <w:kinsoku w:val="0"/>
        <w:wordWrap/>
        <w:overflowPunct/>
        <w:topLinePunct w:val="0"/>
        <w:autoSpaceDE w:val="0"/>
        <w:autoSpaceDN w:val="0"/>
        <w:bidi w:val="0"/>
        <w:adjustRightInd w:val="0"/>
        <w:snapToGrid w:val="0"/>
        <w:spacing w:before="68" w:line="276" w:lineRule="auto"/>
        <w:ind w:left="275" w:leftChars="100" w:right="0" w:hanging="65" w:hangingChars="32"/>
        <w:textAlignment w:val="baseline"/>
        <w:rPr>
          <w:spacing w:val="-3"/>
        </w:rPr>
      </w:pPr>
      <w:r>
        <w:rPr>
          <w:rFonts w:ascii="Wingdings" w:hAnsi="Wingdings" w:eastAsia="Wingdings" w:cs="Wingdings"/>
          <w:spacing w:val="-3"/>
        </w:rPr>
        <w:t>l</w:t>
      </w:r>
      <w:r>
        <w:rPr>
          <w:rFonts w:hint="eastAsia" w:ascii="Wingdings" w:hAnsi="Wingdings" w:eastAsia="宋体" w:cs="Wingdings"/>
          <w:spacing w:val="-3"/>
          <w:lang w:val="en-US" w:eastAsia="zh-CN"/>
        </w:rPr>
        <w:t xml:space="preserve"> </w:t>
      </w:r>
      <w:r>
        <w:rPr>
          <w:spacing w:val="-3"/>
        </w:rPr>
        <w:t>面向复杂问题解决的学习支架开发与应用研究</w:t>
      </w:r>
    </w:p>
    <w:p w14:paraId="107DFBA3">
      <w:pPr>
        <w:pStyle w:val="6"/>
        <w:spacing w:before="68" w:line="276" w:lineRule="auto"/>
        <w:ind w:left="450" w:right="4346" w:hanging="277"/>
      </w:pPr>
      <w:r>
        <w:t xml:space="preserve"> </w:t>
      </w:r>
      <w:r>
        <w:rPr>
          <w:spacing w:val="-26"/>
        </w:rPr>
        <w:t>……</w:t>
      </w:r>
    </w:p>
    <w:p w14:paraId="103F84C7">
      <w:pPr>
        <w:pStyle w:val="6"/>
        <w:spacing w:line="219" w:lineRule="auto"/>
        <w:ind w:left="31"/>
        <w:outlineLvl w:val="2"/>
      </w:pPr>
      <w:r>
        <w:rPr>
          <w:b/>
          <w:bCs/>
          <w:spacing w:val="-4"/>
          <w:sz w:val="18"/>
          <w:szCs w:val="18"/>
        </w:rPr>
        <w:t>（5）</w:t>
      </w:r>
      <w:r>
        <w:rPr>
          <w:spacing w:val="-4"/>
          <w:sz w:val="18"/>
          <w:szCs w:val="18"/>
        </w:rPr>
        <w:t xml:space="preserve"> </w:t>
      </w:r>
      <w:r>
        <w:rPr>
          <w:b/>
          <w:bCs/>
          <w:spacing w:val="-4"/>
        </w:rPr>
        <w:t>评价设计与研究</w:t>
      </w:r>
    </w:p>
    <w:p w14:paraId="165E3F27">
      <w:pPr>
        <w:pStyle w:val="6"/>
        <w:spacing w:before="66" w:line="219" w:lineRule="auto"/>
        <w:ind w:left="173"/>
      </w:pPr>
      <w:r>
        <w:rPr>
          <w:rFonts w:ascii="Wingdings" w:hAnsi="Wingdings" w:eastAsia="Wingdings" w:cs="Wingdings"/>
          <w:spacing w:val="-2"/>
        </w:rPr>
        <w:t>l</w:t>
      </w:r>
      <w:r>
        <w:rPr>
          <w:rFonts w:ascii="Wingdings" w:hAnsi="Wingdings" w:eastAsia="Wingdings" w:cs="Wingdings"/>
          <w:spacing w:val="-77"/>
        </w:rPr>
        <w:t xml:space="preserve"> </w:t>
      </w:r>
      <w:r>
        <w:rPr>
          <w:spacing w:val="-2"/>
        </w:rPr>
        <w:t>学科实践活动中多元化评价指标体系构建及应用研究</w:t>
      </w:r>
    </w:p>
    <w:p w14:paraId="14D1C318">
      <w:pPr>
        <w:pStyle w:val="6"/>
        <w:spacing w:before="67" w:line="219" w:lineRule="auto"/>
        <w:ind w:left="173"/>
      </w:pPr>
      <w:r>
        <w:rPr>
          <w:rFonts w:ascii="Wingdings" w:hAnsi="Wingdings" w:eastAsia="Wingdings" w:cs="Wingdings"/>
          <w:spacing w:val="-2"/>
        </w:rPr>
        <w:t>l</w:t>
      </w:r>
      <w:r>
        <w:rPr>
          <w:rFonts w:ascii="Wingdings" w:hAnsi="Wingdings" w:eastAsia="Wingdings" w:cs="Wingdings"/>
          <w:spacing w:val="-64"/>
        </w:rPr>
        <w:t xml:space="preserve"> </w:t>
      </w:r>
      <w:r>
        <w:rPr>
          <w:spacing w:val="-2"/>
        </w:rPr>
        <w:t>证据导向的学科实践活动评价设计与研究</w:t>
      </w:r>
    </w:p>
    <w:p w14:paraId="32DC231F">
      <w:pPr>
        <w:pStyle w:val="6"/>
        <w:spacing w:before="66" w:line="219" w:lineRule="auto"/>
        <w:ind w:left="173"/>
      </w:pPr>
      <w:r>
        <w:rPr>
          <w:rFonts w:ascii="Wingdings" w:hAnsi="Wingdings" w:eastAsia="Wingdings" w:cs="Wingdings"/>
          <w:spacing w:val="-3"/>
        </w:rPr>
        <w:t>l</w:t>
      </w:r>
      <w:r>
        <w:rPr>
          <w:rFonts w:ascii="Wingdings" w:hAnsi="Wingdings" w:eastAsia="Wingdings" w:cs="Wingdings"/>
          <w:spacing w:val="-66"/>
        </w:rPr>
        <w:t xml:space="preserve"> </w:t>
      </w:r>
      <w:r>
        <w:rPr>
          <w:spacing w:val="-3"/>
        </w:rPr>
        <w:t>基于核心素养的表现性评价设计与研究</w:t>
      </w:r>
    </w:p>
    <w:p w14:paraId="59D1F5AD">
      <w:pPr>
        <w:pStyle w:val="6"/>
        <w:spacing w:before="67" w:line="219" w:lineRule="auto"/>
        <w:ind w:left="173"/>
      </w:pPr>
      <w:r>
        <w:rPr>
          <w:rFonts w:ascii="Wingdings" w:hAnsi="Wingdings" w:eastAsia="Wingdings" w:cs="Wingdings"/>
          <w:spacing w:val="-2"/>
        </w:rPr>
        <w:t>l</w:t>
      </w:r>
      <w:r>
        <w:rPr>
          <w:rFonts w:ascii="Wingdings" w:hAnsi="Wingdings" w:eastAsia="Wingdings" w:cs="Wingdings"/>
          <w:spacing w:val="-79"/>
        </w:rPr>
        <w:t xml:space="preserve"> </w:t>
      </w:r>
      <w:r>
        <w:rPr>
          <w:spacing w:val="-2"/>
        </w:rPr>
        <w:t>核心素养背景下</w:t>
      </w:r>
      <w:r>
        <w:rPr>
          <w:rFonts w:hint="eastAsia"/>
          <w:spacing w:val="-2"/>
          <w:lang w:val="en-US" w:eastAsia="zh-CN"/>
        </w:rPr>
        <w:t>证据导向的</w:t>
      </w:r>
      <w:r>
        <w:rPr>
          <w:spacing w:val="-2"/>
        </w:rPr>
        <w:t>项目式学习评价指标体系研究</w:t>
      </w:r>
    </w:p>
    <w:p w14:paraId="59851A01">
      <w:pPr>
        <w:pStyle w:val="6"/>
        <w:spacing w:before="66" w:line="219" w:lineRule="auto"/>
        <w:ind w:left="173"/>
      </w:pPr>
      <w:r>
        <w:rPr>
          <w:rFonts w:ascii="Wingdings" w:hAnsi="Wingdings" w:eastAsia="Wingdings" w:cs="Wingdings"/>
          <w:spacing w:val="-1"/>
        </w:rPr>
        <w:t>l</w:t>
      </w:r>
      <w:r>
        <w:rPr>
          <w:rFonts w:ascii="Wingdings" w:hAnsi="Wingdings" w:eastAsia="Wingdings" w:cs="Wingdings"/>
          <w:spacing w:val="-81"/>
        </w:rPr>
        <w:t xml:space="preserve"> </w:t>
      </w:r>
      <w:r>
        <w:rPr>
          <w:spacing w:val="-1"/>
        </w:rPr>
        <w:t>基于项目式学习的综合实践活动课程评价探究</w:t>
      </w:r>
    </w:p>
    <w:p w14:paraId="59259DAD">
      <w:pPr>
        <w:pStyle w:val="6"/>
        <w:spacing w:before="65" w:line="219" w:lineRule="auto"/>
        <w:ind w:left="173"/>
      </w:pPr>
      <w:r>
        <w:rPr>
          <w:rFonts w:ascii="Wingdings" w:hAnsi="Wingdings" w:eastAsia="Wingdings" w:cs="Wingdings"/>
          <w:spacing w:val="-2"/>
        </w:rPr>
        <w:t>l</w:t>
      </w:r>
      <w:r>
        <w:rPr>
          <w:rFonts w:ascii="Wingdings" w:hAnsi="Wingdings" w:eastAsia="Wingdings" w:cs="Wingdings"/>
          <w:spacing w:val="-64"/>
        </w:rPr>
        <w:t xml:space="preserve"> </w:t>
      </w:r>
      <w:r>
        <w:rPr>
          <w:spacing w:val="-2"/>
        </w:rPr>
        <w:t>多元评价在跨学科主题活动中的运用策略</w:t>
      </w:r>
    </w:p>
    <w:p w14:paraId="2DFBF03E">
      <w:pPr>
        <w:pStyle w:val="6"/>
        <w:spacing w:before="69" w:line="277" w:lineRule="auto"/>
        <w:ind w:left="450" w:right="3928" w:hanging="277"/>
      </w:pPr>
      <w:r>
        <w:rPr>
          <w:rFonts w:ascii="Wingdings" w:hAnsi="Wingdings" w:eastAsia="Wingdings" w:cs="Wingdings"/>
          <w:spacing w:val="-2"/>
        </w:rPr>
        <w:t>l</w:t>
      </w:r>
      <w:r>
        <w:rPr>
          <w:rFonts w:ascii="Wingdings" w:hAnsi="Wingdings" w:eastAsia="Wingdings" w:cs="Wingdings"/>
          <w:spacing w:val="-82"/>
        </w:rPr>
        <w:t xml:space="preserve"> </w:t>
      </w:r>
      <w:r>
        <w:rPr>
          <w:spacing w:val="-2"/>
        </w:rPr>
        <w:t>跨学科主题项目式学习开展的评价设计研究</w:t>
      </w:r>
      <w:r>
        <w:t xml:space="preserve"> </w:t>
      </w:r>
      <w:r>
        <w:rPr>
          <w:spacing w:val="-26"/>
        </w:rPr>
        <w:t>……</w:t>
      </w:r>
    </w:p>
    <w:p w14:paraId="737B9AA8">
      <w:pPr>
        <w:pStyle w:val="6"/>
        <w:numPr>
          <w:ilvl w:val="0"/>
          <w:numId w:val="1"/>
        </w:numPr>
        <w:spacing w:before="1" w:line="219" w:lineRule="auto"/>
        <w:ind w:left="31"/>
        <w:outlineLvl w:val="2"/>
        <w:rPr>
          <w:b/>
          <w:bCs/>
          <w:spacing w:val="-4"/>
        </w:rPr>
      </w:pPr>
      <w:r>
        <w:rPr>
          <w:rFonts w:hint="eastAsia"/>
          <w:b/>
          <w:bCs/>
          <w:spacing w:val="-4"/>
          <w:lang w:val="en-US" w:eastAsia="zh-CN"/>
        </w:rPr>
        <w:t>证据导向的</w:t>
      </w:r>
      <w:r>
        <w:rPr>
          <w:b/>
          <w:bCs/>
          <w:spacing w:val="-4"/>
        </w:rPr>
        <w:t>项目式学习促进</w:t>
      </w:r>
      <w:r>
        <w:rPr>
          <w:rFonts w:hint="eastAsia"/>
          <w:b/>
          <w:bCs/>
          <w:spacing w:val="-4"/>
          <w:lang w:val="en-US" w:eastAsia="zh-CN"/>
        </w:rPr>
        <w:t>教师</w:t>
      </w:r>
      <w:r>
        <w:rPr>
          <w:b/>
          <w:bCs/>
          <w:spacing w:val="-4"/>
        </w:rPr>
        <w:t>学科能力发展研究</w:t>
      </w:r>
    </w:p>
    <w:p w14:paraId="3CC30527">
      <w:pPr>
        <w:pStyle w:val="6"/>
        <w:spacing w:before="63" w:line="221" w:lineRule="auto"/>
        <w:ind w:left="173"/>
        <w:rPr>
          <w:rFonts w:hint="eastAsia"/>
          <w:spacing w:val="-7"/>
          <w:lang w:val="en-US" w:eastAsia="zh-CN"/>
        </w:rPr>
      </w:pPr>
      <w:r>
        <w:rPr>
          <w:rFonts w:ascii="Wingdings" w:hAnsi="Wingdings" w:eastAsia="Wingdings" w:cs="Wingdings"/>
          <w:spacing w:val="-4"/>
        </w:rPr>
        <w:t>l</w:t>
      </w:r>
      <w:r>
        <w:rPr>
          <w:rFonts w:hint="eastAsia"/>
          <w:spacing w:val="-7"/>
          <w:lang w:val="en-US" w:eastAsia="zh-CN"/>
        </w:rPr>
        <w:t xml:space="preserve"> 证据导向的项目式学习的价值及实施路径研究 </w:t>
      </w:r>
    </w:p>
    <w:p w14:paraId="744933BE">
      <w:pPr>
        <w:pStyle w:val="6"/>
        <w:spacing w:before="63" w:line="221" w:lineRule="auto"/>
        <w:ind w:left="173"/>
        <w:rPr>
          <w:rFonts w:hint="eastAsia"/>
          <w:spacing w:val="-7"/>
          <w:lang w:val="en-US" w:eastAsia="zh-CN"/>
        </w:rPr>
      </w:pPr>
      <w:r>
        <w:rPr>
          <w:rFonts w:ascii="Wingdings" w:hAnsi="Wingdings" w:eastAsia="Wingdings" w:cs="Wingdings"/>
          <w:spacing w:val="-4"/>
        </w:rPr>
        <w:t>l</w:t>
      </w:r>
      <w:r>
        <w:rPr>
          <w:rFonts w:hint="eastAsia"/>
          <w:spacing w:val="-7"/>
          <w:lang w:val="en-US" w:eastAsia="zh-CN"/>
        </w:rPr>
        <w:t xml:space="preserve"> 证据导向的项目式学习中教师角色转变与学科能力发展</w:t>
      </w:r>
    </w:p>
    <w:p w14:paraId="448761DB">
      <w:pPr>
        <w:pStyle w:val="6"/>
        <w:spacing w:before="63" w:line="221" w:lineRule="auto"/>
        <w:ind w:left="173"/>
        <w:rPr>
          <w:rFonts w:hint="eastAsia"/>
          <w:spacing w:val="-7"/>
          <w:lang w:val="en-US" w:eastAsia="zh-CN"/>
        </w:rPr>
      </w:pPr>
      <w:r>
        <w:rPr>
          <w:rFonts w:ascii="Wingdings" w:hAnsi="Wingdings" w:eastAsia="Wingdings" w:cs="Wingdings"/>
          <w:spacing w:val="-4"/>
        </w:rPr>
        <w:t>l</w:t>
      </w:r>
      <w:r>
        <w:rPr>
          <w:rFonts w:hint="eastAsia"/>
          <w:spacing w:val="-7"/>
          <w:lang w:val="en-US" w:eastAsia="zh-CN"/>
        </w:rPr>
        <w:t xml:space="preserve"> 证据导向的项目式学习下教师学科能力提升路径与策略研究</w:t>
      </w:r>
    </w:p>
    <w:p w14:paraId="60106FF6">
      <w:pPr>
        <w:pStyle w:val="6"/>
        <w:spacing w:before="63" w:line="221" w:lineRule="auto"/>
        <w:ind w:left="173"/>
        <w:rPr>
          <w:rFonts w:hint="eastAsia"/>
          <w:spacing w:val="-7"/>
          <w:lang w:val="en-US" w:eastAsia="zh-CN"/>
        </w:rPr>
      </w:pPr>
      <w:r>
        <w:rPr>
          <w:rFonts w:ascii="Wingdings" w:hAnsi="Wingdings" w:eastAsia="Wingdings" w:cs="Wingdings"/>
          <w:spacing w:val="-4"/>
        </w:rPr>
        <w:t>l</w:t>
      </w:r>
      <w:r>
        <w:rPr>
          <w:rFonts w:hint="eastAsia"/>
          <w:spacing w:val="-7"/>
          <w:lang w:val="en-US" w:eastAsia="zh-CN"/>
        </w:rPr>
        <w:t xml:space="preserve"> 核心素养视域下教师专业发展研究</w:t>
      </w:r>
    </w:p>
    <w:p w14:paraId="48475C1D">
      <w:pPr>
        <w:pStyle w:val="6"/>
        <w:spacing w:before="63" w:line="221" w:lineRule="auto"/>
        <w:ind w:left="173"/>
        <w:rPr>
          <w:rFonts w:hint="eastAsia"/>
          <w:spacing w:val="-7"/>
          <w:lang w:val="en-US" w:eastAsia="zh-CN"/>
        </w:rPr>
      </w:pPr>
      <w:r>
        <w:rPr>
          <w:rFonts w:ascii="Wingdings" w:hAnsi="Wingdings" w:eastAsia="Wingdings" w:cs="Wingdings"/>
          <w:spacing w:val="-4"/>
        </w:rPr>
        <w:t>l</w:t>
      </w:r>
      <w:r>
        <w:rPr>
          <w:rFonts w:hint="eastAsia"/>
          <w:spacing w:val="-7"/>
          <w:lang w:val="en-US" w:eastAsia="zh-CN"/>
        </w:rPr>
        <w:t xml:space="preserve"> 基础教育阶段教师学科核心素养研究</w:t>
      </w:r>
    </w:p>
    <w:p w14:paraId="2422BF91">
      <w:pPr>
        <w:pStyle w:val="6"/>
        <w:spacing w:before="63" w:line="221" w:lineRule="auto"/>
        <w:ind w:left="173"/>
        <w:rPr>
          <w:rFonts w:hint="eastAsia"/>
          <w:spacing w:val="-7"/>
          <w:lang w:val="en-US" w:eastAsia="zh-CN"/>
        </w:rPr>
      </w:pPr>
      <w:r>
        <w:rPr>
          <w:rFonts w:ascii="Wingdings" w:hAnsi="Wingdings" w:eastAsia="Wingdings" w:cs="Wingdings"/>
          <w:spacing w:val="-4"/>
        </w:rPr>
        <w:t>l</w:t>
      </w:r>
      <w:r>
        <w:rPr>
          <w:rFonts w:hint="eastAsia"/>
          <w:spacing w:val="-7"/>
          <w:lang w:val="en-US" w:eastAsia="zh-CN"/>
        </w:rPr>
        <w:t xml:space="preserve"> 新课标背景下教师专业发展的有效途径</w:t>
      </w:r>
    </w:p>
    <w:p w14:paraId="089CB45B">
      <w:pPr>
        <w:pStyle w:val="6"/>
        <w:spacing w:before="65" w:line="280" w:lineRule="auto"/>
        <w:ind w:left="382" w:leftChars="182" w:right="4585" w:firstLine="0" w:firstLineChars="0"/>
      </w:pPr>
      <w:r>
        <w:rPr>
          <w:spacing w:val="-26"/>
        </w:rPr>
        <w:t>……</w:t>
      </w:r>
    </w:p>
    <w:p w14:paraId="386B7202">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textAlignment w:val="baseline"/>
        <w:outlineLvl w:val="2"/>
        <w:rPr>
          <w:rFonts w:hint="eastAsia"/>
          <w:b/>
          <w:bCs/>
          <w:spacing w:val="-4"/>
          <w:lang w:eastAsia="zh-CN"/>
        </w:rPr>
      </w:pPr>
      <w:r>
        <w:rPr>
          <w:rFonts w:hint="eastAsia"/>
          <w:b/>
          <w:bCs/>
          <w:spacing w:val="-4"/>
          <w:lang w:eastAsia="zh-CN"/>
        </w:rPr>
        <w:t>（</w:t>
      </w:r>
      <w:r>
        <w:rPr>
          <w:rFonts w:hint="eastAsia"/>
          <w:b/>
          <w:bCs/>
          <w:spacing w:val="-4"/>
          <w:lang w:val="en-US" w:eastAsia="zh-CN"/>
        </w:rPr>
        <w:t>7</w:t>
      </w:r>
      <w:r>
        <w:rPr>
          <w:rFonts w:hint="eastAsia"/>
          <w:b/>
          <w:bCs/>
          <w:spacing w:val="-4"/>
          <w:lang w:eastAsia="zh-CN"/>
        </w:rPr>
        <w:t>）智能技术赋能项目式学习</w:t>
      </w:r>
    </w:p>
    <w:p w14:paraId="4E0F050A">
      <w:pPr>
        <w:pStyle w:val="6"/>
        <w:spacing w:before="63" w:line="221" w:lineRule="auto"/>
        <w:ind w:left="173"/>
        <w:rPr>
          <w:rFonts w:hint="default"/>
          <w:spacing w:val="-7"/>
          <w:lang w:val="en-US" w:eastAsia="zh-CN"/>
        </w:rPr>
      </w:pPr>
      <w:r>
        <w:rPr>
          <w:rFonts w:ascii="Wingdings" w:hAnsi="Wingdings" w:eastAsia="Wingdings" w:cs="Wingdings"/>
          <w:spacing w:val="-4"/>
        </w:rPr>
        <w:t>l</w:t>
      </w:r>
      <w:r>
        <w:rPr>
          <w:rFonts w:hint="eastAsia"/>
          <w:spacing w:val="-7"/>
          <w:lang w:val="en-US" w:eastAsia="zh-CN"/>
        </w:rPr>
        <w:t xml:space="preserve">  智能技术在项目式学习中的应用效果研究</w:t>
      </w:r>
    </w:p>
    <w:p w14:paraId="3FB68D13">
      <w:pPr>
        <w:pStyle w:val="6"/>
        <w:spacing w:before="63" w:line="221" w:lineRule="auto"/>
        <w:ind w:left="173"/>
        <w:rPr>
          <w:rFonts w:hint="default"/>
          <w:spacing w:val="-7"/>
          <w:lang w:val="en-US" w:eastAsia="zh-CN"/>
        </w:rPr>
      </w:pPr>
      <w:r>
        <w:rPr>
          <w:rFonts w:ascii="Wingdings" w:hAnsi="Wingdings" w:eastAsia="Wingdings" w:cs="Wingdings"/>
          <w:spacing w:val="-4"/>
        </w:rPr>
        <w:t>l</w:t>
      </w:r>
      <w:r>
        <w:rPr>
          <w:rFonts w:hint="eastAsia"/>
          <w:spacing w:val="-7"/>
          <w:lang w:val="en-US" w:eastAsia="zh-CN"/>
        </w:rPr>
        <w:t xml:space="preserve">  未来智能技术在项目式学习中的发展趋势与挑战研究</w:t>
      </w:r>
    </w:p>
    <w:p w14:paraId="574AECDC">
      <w:pPr>
        <w:pStyle w:val="6"/>
        <w:spacing w:before="63" w:line="221" w:lineRule="auto"/>
        <w:ind w:left="173"/>
        <w:rPr>
          <w:rFonts w:hint="default"/>
          <w:spacing w:val="-7"/>
          <w:lang w:val="en-US" w:eastAsia="zh-CN"/>
        </w:rPr>
      </w:pPr>
      <w:r>
        <w:rPr>
          <w:rFonts w:ascii="Wingdings" w:hAnsi="Wingdings" w:eastAsia="Wingdings" w:cs="Wingdings"/>
          <w:spacing w:val="-4"/>
        </w:rPr>
        <w:t>l</w:t>
      </w:r>
      <w:r>
        <w:rPr>
          <w:rFonts w:hint="eastAsia"/>
          <w:spacing w:val="-7"/>
          <w:lang w:val="en-US" w:eastAsia="zh-CN"/>
        </w:rPr>
        <w:t xml:space="preserve">  智能技术辅助的项目式学习资源开发与管理</w:t>
      </w:r>
    </w:p>
    <w:p w14:paraId="222F984F">
      <w:pPr>
        <w:pStyle w:val="6"/>
        <w:spacing w:before="63" w:line="221" w:lineRule="auto"/>
        <w:ind w:left="173"/>
        <w:rPr>
          <w:rFonts w:hint="default"/>
          <w:spacing w:val="-7"/>
          <w:lang w:val="en-US" w:eastAsia="zh-CN"/>
        </w:rPr>
      </w:pPr>
      <w:r>
        <w:rPr>
          <w:rFonts w:ascii="Wingdings" w:hAnsi="Wingdings" w:eastAsia="Wingdings" w:cs="Wingdings"/>
          <w:spacing w:val="-4"/>
        </w:rPr>
        <w:t>l</w:t>
      </w:r>
      <w:r>
        <w:rPr>
          <w:rFonts w:hint="eastAsia"/>
          <w:spacing w:val="-7"/>
          <w:lang w:val="en-US" w:eastAsia="zh-CN"/>
        </w:rPr>
        <w:t xml:space="preserve">  智能技术在提升项目式学习互动性中的作用</w:t>
      </w:r>
    </w:p>
    <w:p w14:paraId="53479C26">
      <w:pPr>
        <w:pStyle w:val="6"/>
        <w:spacing w:before="63" w:line="221" w:lineRule="auto"/>
        <w:ind w:left="173"/>
        <w:rPr>
          <w:rFonts w:hint="eastAsia"/>
          <w:spacing w:val="-7"/>
          <w:lang w:val="en-US" w:eastAsia="zh-CN"/>
        </w:rPr>
      </w:pPr>
      <w:r>
        <w:rPr>
          <w:rFonts w:ascii="Wingdings" w:hAnsi="Wingdings" w:eastAsia="Wingdings" w:cs="Wingdings"/>
          <w:spacing w:val="-4"/>
        </w:rPr>
        <w:t>l</w:t>
      </w:r>
      <w:r>
        <w:rPr>
          <w:rFonts w:hint="eastAsia"/>
          <w:spacing w:val="-7"/>
          <w:lang w:val="en-US" w:eastAsia="zh-CN"/>
        </w:rPr>
        <w:t xml:space="preserve">  生成式人工智能与高质量项目式学习深度融合路径研究</w:t>
      </w:r>
    </w:p>
    <w:p w14:paraId="3FBE12C4">
      <w:pPr>
        <w:pStyle w:val="6"/>
        <w:spacing w:before="63" w:line="221" w:lineRule="auto"/>
        <w:ind w:left="173"/>
        <w:rPr>
          <w:rFonts w:hint="eastAsia"/>
          <w:spacing w:val="-7"/>
          <w:lang w:val="en-US" w:eastAsia="zh-CN"/>
        </w:rPr>
      </w:pPr>
      <w:r>
        <w:rPr>
          <w:rFonts w:ascii="Wingdings" w:hAnsi="Wingdings" w:eastAsia="Wingdings" w:cs="Wingdings"/>
          <w:spacing w:val="-4"/>
        </w:rPr>
        <w:t>l</w:t>
      </w:r>
      <w:r>
        <w:rPr>
          <w:rFonts w:hint="eastAsia"/>
          <w:spacing w:val="-7"/>
          <w:lang w:val="en-US" w:eastAsia="zh-CN"/>
        </w:rPr>
        <w:t xml:space="preserve">  基于智能教室场景的学科实践活动设计与研究</w:t>
      </w:r>
    </w:p>
    <w:p w14:paraId="11BE65FB">
      <w:pPr>
        <w:pStyle w:val="6"/>
        <w:spacing w:before="63" w:line="221" w:lineRule="auto"/>
        <w:ind w:left="173"/>
        <w:rPr>
          <w:rFonts w:hint="default"/>
          <w:spacing w:val="-7"/>
          <w:lang w:val="en-US" w:eastAsia="zh-CN"/>
        </w:rPr>
      </w:pPr>
      <w:r>
        <w:rPr>
          <w:rFonts w:ascii="Wingdings" w:hAnsi="Wingdings" w:eastAsia="Wingdings" w:cs="Wingdings"/>
          <w:spacing w:val="-4"/>
        </w:rPr>
        <w:t>l</w:t>
      </w:r>
      <w:r>
        <w:rPr>
          <w:rFonts w:hint="eastAsia"/>
          <w:spacing w:val="-7"/>
          <w:lang w:val="en-US" w:eastAsia="zh-CN"/>
        </w:rPr>
        <w:t xml:space="preserve">  </w:t>
      </w:r>
      <w:r>
        <w:rPr>
          <w:rFonts w:hint="default"/>
          <w:spacing w:val="-7"/>
          <w:lang w:val="en-US" w:eastAsia="zh-CN"/>
        </w:rPr>
        <w:t>智能时代背景下教师在证据导向项目式学习中的角色转变与适应性研究</w:t>
      </w:r>
    </w:p>
    <w:p w14:paraId="43E921A7">
      <w:pPr>
        <w:pStyle w:val="6"/>
        <w:spacing w:before="66" w:line="285" w:lineRule="auto"/>
        <w:ind w:left="430" w:leftChars="182" w:right="4118" w:hanging="48" w:hangingChars="31"/>
        <w:rPr>
          <w:spacing w:val="-26"/>
        </w:rPr>
      </w:pPr>
      <w:r>
        <w:rPr>
          <w:spacing w:val="-26"/>
        </w:rPr>
        <w:t>……</w:t>
      </w:r>
    </w:p>
    <w:p w14:paraId="5021081C">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textAlignment w:val="baseline"/>
        <w:outlineLvl w:val="2"/>
        <w:rPr>
          <w:rFonts w:hint="eastAsia"/>
          <w:b/>
          <w:bCs/>
          <w:spacing w:val="-4"/>
          <w:lang w:eastAsia="zh-CN"/>
        </w:rPr>
      </w:pPr>
      <w:r>
        <w:rPr>
          <w:rFonts w:hint="eastAsia"/>
          <w:b/>
          <w:bCs/>
          <w:spacing w:val="-4"/>
          <w:lang w:val="en-US" w:eastAsia="zh-CN"/>
        </w:rPr>
        <w:t>（8）基于证据导向的项目式学习系统（EPBL平台）的研究</w:t>
      </w:r>
    </w:p>
    <w:p w14:paraId="2CFD21CA">
      <w:pPr>
        <w:pStyle w:val="6"/>
        <w:spacing w:before="63" w:line="221" w:lineRule="auto"/>
        <w:ind w:left="173"/>
        <w:rPr>
          <w:spacing w:val="-7"/>
        </w:rPr>
      </w:pPr>
      <w:r>
        <w:rPr>
          <w:rFonts w:ascii="Wingdings" w:hAnsi="Wingdings" w:eastAsia="Wingdings" w:cs="Wingdings"/>
          <w:spacing w:val="-7"/>
        </w:rPr>
        <w:t>l</w:t>
      </w:r>
      <w:r>
        <w:rPr>
          <w:rFonts w:ascii="Wingdings" w:hAnsi="Wingdings" w:eastAsia="Wingdings" w:cs="Wingdings"/>
          <w:spacing w:val="-75"/>
        </w:rPr>
        <w:t xml:space="preserve"> </w:t>
      </w:r>
      <w:r>
        <w:rPr>
          <w:spacing w:val="-7"/>
        </w:rPr>
        <w:t>基于EPBL平台的</w:t>
      </w:r>
      <w:r>
        <w:rPr>
          <w:rFonts w:hint="eastAsia"/>
          <w:spacing w:val="-7"/>
          <w:lang w:val="en-US" w:eastAsia="zh-CN"/>
        </w:rPr>
        <w:t>证据导向</w:t>
      </w:r>
      <w:r>
        <w:rPr>
          <w:spacing w:val="-7"/>
        </w:rPr>
        <w:t>项目式学习设计与实践</w:t>
      </w:r>
    </w:p>
    <w:p w14:paraId="499EE847">
      <w:pPr>
        <w:pStyle w:val="6"/>
        <w:spacing w:before="63" w:line="221" w:lineRule="auto"/>
        <w:ind w:left="173"/>
        <w:rPr>
          <w:spacing w:val="-7"/>
        </w:rPr>
      </w:pPr>
      <w:r>
        <w:rPr>
          <w:rFonts w:ascii="Wingdings" w:hAnsi="Wingdings" w:eastAsia="Wingdings" w:cs="Wingdings"/>
          <w:spacing w:val="-7"/>
        </w:rPr>
        <w:t>l</w:t>
      </w:r>
      <w:r>
        <w:rPr>
          <w:rFonts w:hint="eastAsia" w:ascii="Wingdings" w:hAnsi="Wingdings" w:eastAsia="宋体" w:cs="Wingdings"/>
          <w:spacing w:val="-7"/>
          <w:lang w:val="en-US" w:eastAsia="zh-CN"/>
        </w:rPr>
        <w:t xml:space="preserve"> </w:t>
      </w:r>
      <w:r>
        <w:rPr>
          <w:rFonts w:hint="eastAsia"/>
          <w:spacing w:val="-7"/>
        </w:rPr>
        <w:t>基于EPBL</w:t>
      </w:r>
      <w:r>
        <w:rPr>
          <w:rFonts w:hint="eastAsia"/>
          <w:spacing w:val="-7"/>
          <w:lang w:val="en-US" w:eastAsia="zh-CN"/>
        </w:rPr>
        <w:t>平台</w:t>
      </w:r>
      <w:r>
        <w:rPr>
          <w:rFonts w:hint="eastAsia"/>
          <w:spacing w:val="-7"/>
        </w:rPr>
        <w:t>的教师循证实践能力培养</w:t>
      </w:r>
    </w:p>
    <w:p w14:paraId="4ED7077D">
      <w:pPr>
        <w:pStyle w:val="6"/>
        <w:spacing w:before="63" w:line="221" w:lineRule="auto"/>
        <w:ind w:left="173"/>
        <w:rPr>
          <w:rFonts w:hint="eastAsia"/>
          <w:spacing w:val="-7"/>
          <w:lang w:eastAsia="zh-CN"/>
        </w:rPr>
      </w:pPr>
      <w:r>
        <w:rPr>
          <w:rFonts w:ascii="Wingdings" w:hAnsi="Wingdings" w:eastAsia="Wingdings" w:cs="Wingdings"/>
          <w:spacing w:val="-7"/>
        </w:rPr>
        <w:t>l</w:t>
      </w:r>
      <w:r>
        <w:rPr>
          <w:rFonts w:hint="eastAsia" w:ascii="Wingdings" w:hAnsi="Wingdings" w:eastAsia="宋体" w:cs="Wingdings"/>
          <w:spacing w:val="-7"/>
          <w:lang w:val="en-US" w:eastAsia="zh-CN"/>
        </w:rPr>
        <w:t xml:space="preserve"> </w:t>
      </w:r>
      <w:r>
        <w:rPr>
          <w:rFonts w:hint="eastAsia"/>
          <w:spacing w:val="-7"/>
          <w:lang w:eastAsia="zh-CN"/>
        </w:rPr>
        <w:t>教师在EPBL</w:t>
      </w:r>
      <w:r>
        <w:rPr>
          <w:rFonts w:hint="eastAsia"/>
          <w:spacing w:val="-7"/>
          <w:lang w:val="en-US" w:eastAsia="zh-CN"/>
        </w:rPr>
        <w:t>平台</w:t>
      </w:r>
      <w:r>
        <w:rPr>
          <w:rFonts w:hint="eastAsia"/>
          <w:spacing w:val="-7"/>
          <w:lang w:eastAsia="zh-CN"/>
        </w:rPr>
        <w:t>中利用智能技术促进学生核心素养发展的策略研究</w:t>
      </w:r>
    </w:p>
    <w:p w14:paraId="1E1CC98C">
      <w:pPr>
        <w:pStyle w:val="6"/>
        <w:spacing w:before="63" w:line="221" w:lineRule="auto"/>
        <w:ind w:left="173"/>
        <w:rPr>
          <w:rFonts w:hint="eastAsia"/>
          <w:spacing w:val="-7"/>
          <w:lang w:eastAsia="zh-CN"/>
        </w:rPr>
      </w:pPr>
      <w:r>
        <w:rPr>
          <w:rFonts w:ascii="Wingdings" w:hAnsi="Wingdings" w:eastAsia="Wingdings" w:cs="Wingdings"/>
          <w:spacing w:val="-7"/>
        </w:rPr>
        <w:t>l</w:t>
      </w:r>
      <w:r>
        <w:rPr>
          <w:rFonts w:hint="eastAsia" w:ascii="Wingdings" w:hAnsi="Wingdings" w:eastAsia="宋体" w:cs="Wingdings"/>
          <w:spacing w:val="-7"/>
          <w:lang w:val="en-US" w:eastAsia="zh-CN"/>
        </w:rPr>
        <w:t xml:space="preserve"> </w:t>
      </w:r>
      <w:r>
        <w:rPr>
          <w:rFonts w:hint="eastAsia"/>
          <w:spacing w:val="-7"/>
          <w:lang w:eastAsia="zh-CN"/>
        </w:rPr>
        <w:t>基于EPBL</w:t>
      </w:r>
      <w:r>
        <w:rPr>
          <w:rFonts w:hint="eastAsia"/>
          <w:spacing w:val="-7"/>
          <w:lang w:val="en-US" w:eastAsia="zh-CN"/>
        </w:rPr>
        <w:t>平台</w:t>
      </w:r>
      <w:r>
        <w:rPr>
          <w:rFonts w:hint="eastAsia"/>
          <w:spacing w:val="-7"/>
          <w:lang w:eastAsia="zh-CN"/>
        </w:rPr>
        <w:t>的科学探究项目式学习设计与实施</w:t>
      </w:r>
    </w:p>
    <w:p w14:paraId="051A99C9">
      <w:pPr>
        <w:pStyle w:val="6"/>
        <w:spacing w:before="63" w:line="221" w:lineRule="auto"/>
        <w:ind w:left="173"/>
        <w:rPr>
          <w:rFonts w:hint="eastAsia"/>
          <w:spacing w:val="-7"/>
          <w:lang w:eastAsia="zh-CN"/>
        </w:rPr>
      </w:pPr>
      <w:r>
        <w:rPr>
          <w:rFonts w:ascii="Wingdings" w:hAnsi="Wingdings" w:eastAsia="Wingdings" w:cs="Wingdings"/>
          <w:spacing w:val="-7"/>
        </w:rPr>
        <w:t>l</w:t>
      </w:r>
      <w:r>
        <w:rPr>
          <w:rFonts w:hint="eastAsia" w:ascii="Wingdings" w:hAnsi="Wingdings" w:eastAsia="宋体" w:cs="Wingdings"/>
          <w:spacing w:val="-7"/>
          <w:lang w:val="en-US" w:eastAsia="zh-CN"/>
        </w:rPr>
        <w:t xml:space="preserve"> </w:t>
      </w:r>
      <w:r>
        <w:rPr>
          <w:rFonts w:hint="eastAsia"/>
          <w:spacing w:val="-7"/>
          <w:lang w:eastAsia="zh-CN"/>
        </w:rPr>
        <w:t>EPBL平台下的项目式学习与学生创新能力培养的关联研究</w:t>
      </w:r>
    </w:p>
    <w:p w14:paraId="1695A408">
      <w:pPr>
        <w:pStyle w:val="6"/>
        <w:spacing w:before="63" w:line="221" w:lineRule="auto"/>
        <w:ind w:left="173" w:firstLine="196" w:firstLineChars="100"/>
        <w:rPr>
          <w:rFonts w:hint="eastAsia"/>
          <w:spacing w:val="-7"/>
          <w:lang w:eastAsia="zh-CN"/>
        </w:rPr>
      </w:pPr>
      <w:r>
        <w:rPr>
          <w:rFonts w:hint="eastAsia"/>
          <w:spacing w:val="-7"/>
          <w:lang w:eastAsia="zh-CN"/>
        </w:rPr>
        <w:t>……</w:t>
      </w:r>
    </w:p>
    <w:p w14:paraId="25F29CAC">
      <w:pPr>
        <w:pStyle w:val="6"/>
        <w:spacing w:before="66" w:line="285" w:lineRule="auto"/>
        <w:ind w:left="430" w:leftChars="182" w:right="4118" w:hanging="48" w:hangingChars="31"/>
        <w:rPr>
          <w:spacing w:val="-26"/>
        </w:rPr>
      </w:pPr>
    </w:p>
    <w:p w14:paraId="7E317410">
      <w:pPr>
        <w:pStyle w:val="6"/>
        <w:spacing w:before="117" w:line="226" w:lineRule="auto"/>
        <w:ind w:left="27"/>
        <w:outlineLvl w:val="0"/>
        <w:rPr>
          <w:sz w:val="31"/>
          <w:szCs w:val="31"/>
        </w:rPr>
      </w:pPr>
      <w:r>
        <w:rPr>
          <w:b/>
          <w:bCs/>
          <w:spacing w:val="-10"/>
          <w:sz w:val="31"/>
          <w:szCs w:val="31"/>
        </w:rPr>
        <w:t>六、课题实施</w:t>
      </w:r>
    </w:p>
    <w:p w14:paraId="62C4CDDE">
      <w:pPr>
        <w:spacing w:before="149" w:line="194" w:lineRule="auto"/>
        <w:ind w:left="28"/>
        <w:outlineLvl w:val="1"/>
        <w:rPr>
          <w:rFonts w:ascii="微软雅黑" w:hAnsi="微软雅黑" w:eastAsia="微软雅黑" w:cs="微软雅黑"/>
          <w:sz w:val="21"/>
          <w:szCs w:val="21"/>
        </w:rPr>
      </w:pPr>
      <w:r>
        <w:rPr>
          <w:rFonts w:ascii="Microsoft JhengHei" w:hAnsi="Microsoft JhengHei" w:eastAsia="Microsoft JhengHei" w:cs="Microsoft JhengHei"/>
          <w:b/>
          <w:bCs/>
          <w:spacing w:val="-3"/>
          <w:sz w:val="18"/>
          <w:szCs w:val="18"/>
        </w:rPr>
        <w:t>1.</w:t>
      </w:r>
      <w:r>
        <w:rPr>
          <w:rFonts w:ascii="Microsoft JhengHei" w:hAnsi="Microsoft JhengHei" w:eastAsia="Microsoft JhengHei" w:cs="Microsoft JhengHei"/>
          <w:b/>
          <w:bCs/>
          <w:spacing w:val="-19"/>
          <w:sz w:val="18"/>
          <w:szCs w:val="18"/>
        </w:rPr>
        <w:t xml:space="preserve"> </w:t>
      </w:r>
      <w:r>
        <w:rPr>
          <w:rFonts w:ascii="微软雅黑" w:hAnsi="微软雅黑" w:eastAsia="微软雅黑" w:cs="微软雅黑"/>
          <w:b/>
          <w:bCs/>
          <w:spacing w:val="-3"/>
          <w:sz w:val="21"/>
          <w:szCs w:val="21"/>
        </w:rPr>
        <w:t>课题实施与组织</w:t>
      </w:r>
    </w:p>
    <w:p w14:paraId="395EB87D">
      <w:pPr>
        <w:spacing w:line="194" w:lineRule="auto"/>
        <w:rPr>
          <w:position w:val="-62"/>
        </w:rPr>
      </w:pPr>
      <w:r>
        <w:rPr>
          <w:rFonts w:hint="eastAsia" w:eastAsia="宋体"/>
          <w:position w:val="-62"/>
          <w:lang w:val="en-US" w:eastAsia="zh-CN"/>
        </w:rPr>
        <w:t xml:space="preserve">                          </w:t>
      </w:r>
      <w:r>
        <w:rPr>
          <w:position w:val="-62"/>
        </w:rPr>
        <w:drawing>
          <wp:inline distT="0" distB="0" distL="0" distR="0">
            <wp:extent cx="3612515" cy="2226945"/>
            <wp:effectExtent l="0" t="0" r="6985" b="1905"/>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6"/>
                    <a:stretch>
                      <a:fillRect/>
                    </a:stretch>
                  </pic:blipFill>
                  <pic:spPr>
                    <a:xfrm>
                      <a:off x="0" y="0"/>
                      <a:ext cx="3612515" cy="2226945"/>
                    </a:xfrm>
                    <a:prstGeom prst="rect">
                      <a:avLst/>
                    </a:prstGeom>
                  </pic:spPr>
                </pic:pic>
              </a:graphicData>
            </a:graphic>
          </wp:inline>
        </w:drawing>
      </w:r>
    </w:p>
    <w:p w14:paraId="5B8C3265">
      <w:pPr>
        <w:spacing w:line="194" w:lineRule="auto"/>
        <w:rPr>
          <w:position w:val="-62"/>
        </w:rPr>
      </w:pPr>
    </w:p>
    <w:p w14:paraId="3EE1427E">
      <w:pPr>
        <w:pStyle w:val="6"/>
        <w:spacing w:before="68" w:line="221" w:lineRule="auto"/>
        <w:ind w:left="3406"/>
        <w:rPr>
          <w:spacing w:val="-4"/>
        </w:rPr>
      </w:pPr>
      <w:r>
        <w:rPr>
          <w:spacing w:val="-4"/>
        </w:rPr>
        <w:t>图1 课题组织结构示意图</w:t>
      </w:r>
    </w:p>
    <w:p w14:paraId="17A26F18">
      <w:pPr>
        <w:pStyle w:val="3"/>
        <w:keepNext/>
        <w:keepLines/>
        <w:pageBreakBefore w:val="0"/>
        <w:widowControl/>
        <w:kinsoku w:val="0"/>
        <w:wordWrap/>
        <w:overflowPunct/>
        <w:topLinePunct w:val="0"/>
        <w:autoSpaceDE w:val="0"/>
        <w:autoSpaceDN w:val="0"/>
        <w:bidi w:val="0"/>
        <w:adjustRightInd w:val="0"/>
        <w:snapToGrid w:val="0"/>
        <w:spacing w:before="0" w:after="0" w:line="413" w:lineRule="auto"/>
        <w:textAlignment w:val="baseline"/>
        <w:rPr>
          <w:rFonts w:ascii="微软雅黑" w:hAnsi="微软雅黑" w:eastAsia="微软雅黑" w:cs="微软雅黑"/>
          <w:b/>
          <w:bCs/>
          <w:snapToGrid w:val="0"/>
          <w:color w:val="000000"/>
          <w:spacing w:val="-3"/>
          <w:kern w:val="0"/>
          <w:sz w:val="21"/>
          <w:szCs w:val="21"/>
          <w:lang w:val="en-US" w:eastAsia="en-US" w:bidi="ar-SA"/>
        </w:rPr>
      </w:pPr>
      <w:r>
        <w:rPr>
          <w:rFonts w:ascii="微软雅黑" w:hAnsi="微软雅黑" w:eastAsia="微软雅黑" w:cs="微软雅黑"/>
          <w:b/>
          <w:bCs/>
          <w:snapToGrid w:val="0"/>
          <w:color w:val="000000"/>
          <w:spacing w:val="-3"/>
          <w:kern w:val="0"/>
          <w:sz w:val="21"/>
          <w:szCs w:val="21"/>
          <w:lang w:val="en-US" w:eastAsia="en-US" w:bidi="ar-SA"/>
        </w:rPr>
        <w:t>2. 课题实施形式</w:t>
      </w:r>
    </w:p>
    <w:p w14:paraId="2F386A5D">
      <w:pPr>
        <w:spacing w:line="304" w:lineRule="auto"/>
        <w:rPr>
          <w:rFonts w:ascii="Arial"/>
          <w:sz w:val="21"/>
        </w:rPr>
      </w:pPr>
    </w:p>
    <w:p w14:paraId="5A89BCFE">
      <w:pPr>
        <w:spacing w:line="1128" w:lineRule="exact"/>
      </w:pPr>
      <w:r>
        <w:rPr>
          <w:position w:val="-22"/>
        </w:rPr>
        <w:drawing>
          <wp:inline distT="0" distB="0" distL="0" distR="0">
            <wp:extent cx="5211445" cy="71564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5211571" cy="716279"/>
                    </a:xfrm>
                    <a:prstGeom prst="rect">
                      <a:avLst/>
                    </a:prstGeom>
                  </pic:spPr>
                </pic:pic>
              </a:graphicData>
            </a:graphic>
          </wp:inline>
        </w:drawing>
      </w:r>
    </w:p>
    <w:p w14:paraId="79CCDAF3">
      <w:pPr>
        <w:pStyle w:val="6"/>
        <w:spacing w:before="41" w:line="213" w:lineRule="auto"/>
        <w:ind w:left="3519"/>
      </w:pPr>
      <w:r>
        <w:rPr>
          <w:spacing w:val="-4"/>
        </w:rPr>
        <w:t>图2 课题实施流程</w:t>
      </w:r>
    </w:p>
    <w:p w14:paraId="5E4E43E6">
      <w:pPr>
        <w:pStyle w:val="6"/>
        <w:spacing w:line="481" w:lineRule="exact"/>
        <w:ind w:left="149"/>
      </w:pPr>
      <w:r>
        <w:rPr>
          <w:spacing w:val="-1"/>
          <w:position w:val="7"/>
        </w:rPr>
        <w:t>课题申报指定发送邮箱：</w:t>
      </w:r>
      <w:r>
        <w:fldChar w:fldCharType="begin"/>
      </w:r>
      <w:r>
        <w:instrText xml:space="preserve"> HYPERLINK "mailto:epbl_gaojjbnu@163.com" </w:instrText>
      </w:r>
      <w:r>
        <w:fldChar w:fldCharType="separate"/>
      </w:r>
      <w:r>
        <w:rPr>
          <w:spacing w:val="-1"/>
          <w:position w:val="7"/>
        </w:rPr>
        <w:t>epbl_gaojjbnu@163</w:t>
      </w:r>
      <w:r>
        <w:rPr>
          <w:spacing w:val="-2"/>
          <w:position w:val="7"/>
        </w:rPr>
        <w:t>.com</w:t>
      </w:r>
      <w:r>
        <w:rPr>
          <w:spacing w:val="-2"/>
          <w:position w:val="7"/>
        </w:rPr>
        <w:fldChar w:fldCharType="end"/>
      </w:r>
    </w:p>
    <w:p w14:paraId="38052F20">
      <w:pPr>
        <w:pStyle w:val="6"/>
        <w:keepNext w:val="0"/>
        <w:keepLines w:val="0"/>
        <w:pageBreakBefore w:val="0"/>
        <w:widowControl/>
        <w:kinsoku w:val="0"/>
        <w:wordWrap w:val="0"/>
        <w:overflowPunct/>
        <w:topLinePunct w:val="0"/>
        <w:autoSpaceDE w:val="0"/>
        <w:autoSpaceDN w:val="0"/>
        <w:bidi w:val="0"/>
        <w:adjustRightInd w:val="0"/>
        <w:snapToGrid w:val="0"/>
        <w:spacing w:before="1" w:line="336" w:lineRule="auto"/>
        <w:ind w:left="153" w:hanging="6"/>
        <w:textAlignment w:val="baseline"/>
      </w:pPr>
      <w:r>
        <w:rPr>
          <w:spacing w:val="-1"/>
        </w:rPr>
        <w:t>课题实施与活动公示网站：</w:t>
      </w:r>
      <w:r>
        <w:fldChar w:fldCharType="begin"/>
      </w:r>
      <w:r>
        <w:instrText xml:space="preserve"> HYPERLINK "https://aic-fe.bnu.edu.cn/xwdt/ztdtrky/epblzt/xmktbj/index.html" </w:instrText>
      </w:r>
      <w:r>
        <w:fldChar w:fldCharType="separate"/>
      </w:r>
      <w:r>
        <w:rPr>
          <w:color w:val="0000FF"/>
          <w:spacing w:val="-1"/>
          <w:u w:val="single" w:color="auto"/>
        </w:rPr>
        <w:t>https://aic-fe.bnu.edu.cn/xwdt/ztdtrky/epblzt/xmktbj/index.h</w:t>
      </w:r>
      <w:r>
        <w:rPr>
          <w:color w:val="0000FF"/>
          <w:spacing w:val="-2"/>
          <w:u w:val="single" w:color="auto"/>
        </w:rPr>
        <w:t>tml</w:t>
      </w:r>
      <w:r>
        <w:rPr>
          <w:color w:val="0000FF"/>
          <w:spacing w:val="-2"/>
          <w:u w:val="single" w:color="auto"/>
        </w:rPr>
        <w:fldChar w:fldCharType="end"/>
      </w:r>
      <w:r>
        <w:rPr>
          <w:color w:val="0000FF"/>
        </w:rPr>
        <w:t xml:space="preserve"> </w:t>
      </w:r>
      <w:r>
        <w:rPr>
          <w:spacing w:val="-2"/>
        </w:rPr>
        <w:t>实施的主要形式是：</w:t>
      </w:r>
    </w:p>
    <w:p w14:paraId="2DBCF19E">
      <w:pPr>
        <w:pStyle w:val="6"/>
        <w:spacing w:before="279" w:line="220" w:lineRule="auto"/>
        <w:ind w:left="562"/>
      </w:pPr>
      <w:r>
        <w:rPr>
          <w:rFonts w:ascii="Wingdings" w:hAnsi="Wingdings" w:eastAsia="Wingdings" w:cs="Wingdings"/>
          <w:spacing w:val="-2"/>
        </w:rPr>
        <w:t>l</w:t>
      </w:r>
      <w:r>
        <w:rPr>
          <w:rFonts w:ascii="Wingdings" w:hAnsi="Wingdings" w:eastAsia="Wingdings" w:cs="Wingdings"/>
          <w:spacing w:val="77"/>
        </w:rPr>
        <w:t xml:space="preserve"> </w:t>
      </w:r>
      <w:r>
        <w:rPr>
          <w:spacing w:val="-2"/>
        </w:rPr>
        <w:t>总课题组根据试验区、试验学校选择申报的子课题，提供必要的技术和理论支持</w:t>
      </w:r>
    </w:p>
    <w:p w14:paraId="7A347198">
      <w:pPr>
        <w:pStyle w:val="6"/>
        <w:spacing w:before="201" w:line="220" w:lineRule="auto"/>
        <w:ind w:left="562"/>
      </w:pPr>
      <w:r>
        <w:rPr>
          <w:rFonts w:ascii="Wingdings" w:hAnsi="Wingdings" w:eastAsia="Wingdings" w:cs="Wingdings"/>
          <w:spacing w:val="-2"/>
        </w:rPr>
        <w:t>l</w:t>
      </w:r>
      <w:r>
        <w:rPr>
          <w:rFonts w:ascii="Wingdings" w:hAnsi="Wingdings" w:eastAsia="Wingdings" w:cs="Wingdings"/>
          <w:spacing w:val="74"/>
        </w:rPr>
        <w:t xml:space="preserve"> </w:t>
      </w:r>
      <w:r>
        <w:rPr>
          <w:spacing w:val="-2"/>
        </w:rPr>
        <w:t>总课题组每年举办一次全国研讨会，不定期开展区域性教研、培训等活动</w:t>
      </w:r>
    </w:p>
    <w:p w14:paraId="72B9D4DC">
      <w:pPr>
        <w:pStyle w:val="6"/>
        <w:spacing w:before="201" w:line="220" w:lineRule="auto"/>
        <w:ind w:left="562"/>
      </w:pPr>
      <w:r>
        <w:rPr>
          <w:rFonts w:ascii="Wingdings" w:hAnsi="Wingdings" w:eastAsia="Wingdings" w:cs="Wingdings"/>
          <w:spacing w:val="-2"/>
        </w:rPr>
        <w:t>l</w:t>
      </w:r>
      <w:r>
        <w:rPr>
          <w:rFonts w:ascii="Wingdings" w:hAnsi="Wingdings" w:eastAsia="Wingdings" w:cs="Wingdings"/>
          <w:spacing w:val="63"/>
        </w:rPr>
        <w:t xml:space="preserve"> </w:t>
      </w:r>
      <w:r>
        <w:rPr>
          <w:spacing w:val="-2"/>
        </w:rPr>
        <w:t>各省市课题组根据情况不定期举办地区研讨会</w:t>
      </w:r>
    </w:p>
    <w:p w14:paraId="5683C86C">
      <w:pPr>
        <w:pStyle w:val="6"/>
        <w:spacing w:before="203" w:line="221" w:lineRule="auto"/>
        <w:ind w:left="562"/>
      </w:pPr>
      <w:r>
        <w:rPr>
          <w:rFonts w:ascii="Wingdings" w:hAnsi="Wingdings" w:eastAsia="Wingdings" w:cs="Wingdings"/>
          <w:spacing w:val="-3"/>
        </w:rPr>
        <w:t>l</w:t>
      </w:r>
      <w:r>
        <w:rPr>
          <w:rFonts w:ascii="Wingdings" w:hAnsi="Wingdings" w:eastAsia="Wingdings" w:cs="Wingdings"/>
          <w:spacing w:val="78"/>
        </w:rPr>
        <w:t xml:space="preserve"> </w:t>
      </w:r>
      <w:r>
        <w:rPr>
          <w:spacing w:val="-3"/>
        </w:rPr>
        <w:t>各试验区、试验学校之间组织参观、交流</w:t>
      </w:r>
    </w:p>
    <w:p w14:paraId="33A2B7E8">
      <w:pPr>
        <w:pStyle w:val="6"/>
        <w:spacing w:before="197" w:line="221" w:lineRule="auto"/>
        <w:ind w:left="562"/>
      </w:pPr>
      <w:r>
        <w:rPr>
          <w:rFonts w:ascii="Wingdings" w:hAnsi="Wingdings" w:eastAsia="Wingdings" w:cs="Wingdings"/>
          <w:spacing w:val="-2"/>
        </w:rPr>
        <w:t>l</w:t>
      </w:r>
      <w:r>
        <w:rPr>
          <w:rFonts w:ascii="Wingdings" w:hAnsi="Wingdings" w:eastAsia="Wingdings" w:cs="Wingdings"/>
          <w:spacing w:val="72"/>
        </w:rPr>
        <w:t xml:space="preserve"> </w:t>
      </w:r>
      <w:r>
        <w:rPr>
          <w:spacing w:val="-2"/>
        </w:rPr>
        <w:t>充分发挥课题管理微信群、官方网站的作用，加强相互之间的交流</w:t>
      </w:r>
    </w:p>
    <w:p w14:paraId="2CC2126E">
      <w:pPr>
        <w:spacing w:before="208" w:line="194" w:lineRule="auto"/>
        <w:ind w:left="133"/>
        <w:outlineLvl w:val="1"/>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5"/>
          <w:sz w:val="18"/>
          <w:szCs w:val="18"/>
        </w:rPr>
        <w:t xml:space="preserve">3. </w:t>
      </w:r>
      <w:r>
        <w:rPr>
          <w:rFonts w:ascii="Microsoft JhengHei" w:hAnsi="Microsoft JhengHei" w:eastAsia="Microsoft JhengHei" w:cs="Microsoft JhengHei"/>
          <w:b/>
          <w:bCs/>
          <w:spacing w:val="-5"/>
          <w:sz w:val="21"/>
          <w:szCs w:val="21"/>
        </w:rPr>
        <w:t>课题实施周期</w:t>
      </w:r>
    </w:p>
    <w:p w14:paraId="6A60D893">
      <w:pPr>
        <w:pStyle w:val="6"/>
        <w:spacing w:before="277" w:line="220" w:lineRule="auto"/>
        <w:ind w:left="491"/>
        <w:rPr>
          <w:sz w:val="22"/>
          <w:szCs w:val="22"/>
        </w:rPr>
      </w:pPr>
      <w:r>
        <w:rPr>
          <w:spacing w:val="-1"/>
          <w:sz w:val="22"/>
          <w:szCs w:val="22"/>
        </w:rPr>
        <w:t>202</w:t>
      </w:r>
      <w:r>
        <w:rPr>
          <w:rFonts w:hint="eastAsia"/>
          <w:spacing w:val="-1"/>
          <w:sz w:val="22"/>
          <w:szCs w:val="22"/>
          <w:lang w:val="en-US" w:eastAsia="zh-CN"/>
        </w:rPr>
        <w:t>5</w:t>
      </w:r>
      <w:r>
        <w:rPr>
          <w:spacing w:val="-1"/>
          <w:sz w:val="22"/>
          <w:szCs w:val="22"/>
        </w:rPr>
        <w:t>年</w:t>
      </w:r>
      <w:r>
        <w:rPr>
          <w:rFonts w:hint="eastAsia"/>
          <w:spacing w:val="-1"/>
          <w:sz w:val="22"/>
          <w:szCs w:val="22"/>
          <w:lang w:val="en-US" w:eastAsia="zh-CN"/>
        </w:rPr>
        <w:t>5</w:t>
      </w:r>
      <w:r>
        <w:rPr>
          <w:spacing w:val="-1"/>
          <w:sz w:val="22"/>
          <w:szCs w:val="22"/>
        </w:rPr>
        <w:t>月-202</w:t>
      </w:r>
      <w:r>
        <w:rPr>
          <w:rFonts w:hint="eastAsia"/>
          <w:spacing w:val="-1"/>
          <w:sz w:val="22"/>
          <w:szCs w:val="22"/>
          <w:lang w:val="en-US" w:eastAsia="zh-CN"/>
        </w:rPr>
        <w:t>8</w:t>
      </w:r>
      <w:r>
        <w:rPr>
          <w:spacing w:val="-1"/>
          <w:sz w:val="22"/>
          <w:szCs w:val="22"/>
        </w:rPr>
        <w:t>年</w:t>
      </w:r>
      <w:r>
        <w:rPr>
          <w:rFonts w:hint="eastAsia"/>
          <w:spacing w:val="-1"/>
          <w:sz w:val="22"/>
          <w:szCs w:val="22"/>
          <w:lang w:val="en-US" w:eastAsia="zh-CN"/>
        </w:rPr>
        <w:t>6</w:t>
      </w:r>
      <w:r>
        <w:rPr>
          <w:spacing w:val="-1"/>
          <w:sz w:val="22"/>
          <w:szCs w:val="22"/>
        </w:rPr>
        <w:t>月</w:t>
      </w:r>
    </w:p>
    <w:p w14:paraId="2F53595F">
      <w:pPr>
        <w:spacing w:line="134" w:lineRule="exact"/>
      </w:pPr>
    </w:p>
    <w:tbl>
      <w:tblPr>
        <w:tblStyle w:val="12"/>
        <w:tblW w:w="7657" w:type="dxa"/>
        <w:tblInd w:w="4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6"/>
        <w:gridCol w:w="1729"/>
        <w:gridCol w:w="1842"/>
        <w:gridCol w:w="1320"/>
      </w:tblGrid>
      <w:tr w14:paraId="78E82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766" w:type="dxa"/>
            <w:vAlign w:val="top"/>
          </w:tcPr>
          <w:p w14:paraId="14EF5087">
            <w:pPr>
              <w:rPr>
                <w:rFonts w:ascii="Arial"/>
                <w:sz w:val="21"/>
              </w:rPr>
            </w:pPr>
          </w:p>
        </w:tc>
        <w:tc>
          <w:tcPr>
            <w:tcW w:w="1729" w:type="dxa"/>
            <w:vAlign w:val="top"/>
          </w:tcPr>
          <w:p w14:paraId="05542B57">
            <w:pPr>
              <w:pStyle w:val="13"/>
              <w:spacing w:before="33" w:line="221" w:lineRule="auto"/>
              <w:ind w:left="385"/>
            </w:pPr>
            <w:r>
              <w:rPr>
                <w:spacing w:val="-8"/>
              </w:rPr>
              <w:t>申报时间</w:t>
            </w:r>
          </w:p>
        </w:tc>
        <w:tc>
          <w:tcPr>
            <w:tcW w:w="1842" w:type="dxa"/>
            <w:vAlign w:val="top"/>
          </w:tcPr>
          <w:p w14:paraId="37A8F349">
            <w:pPr>
              <w:pStyle w:val="13"/>
              <w:spacing w:before="34" w:line="221" w:lineRule="auto"/>
              <w:ind w:left="206"/>
            </w:pPr>
            <w:r>
              <w:rPr>
                <w:spacing w:val="-1"/>
              </w:rPr>
              <w:t>立项公示时间</w:t>
            </w:r>
          </w:p>
        </w:tc>
        <w:tc>
          <w:tcPr>
            <w:tcW w:w="1320" w:type="dxa"/>
            <w:vAlign w:val="top"/>
          </w:tcPr>
          <w:p w14:paraId="7F3969FF">
            <w:pPr>
              <w:pStyle w:val="13"/>
              <w:spacing w:before="34" w:line="222" w:lineRule="auto"/>
              <w:ind w:left="159"/>
            </w:pPr>
            <w:r>
              <w:rPr>
                <w:spacing w:val="-3"/>
              </w:rPr>
              <w:t>结题时间</w:t>
            </w:r>
          </w:p>
        </w:tc>
      </w:tr>
      <w:tr w14:paraId="4AA8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766" w:type="dxa"/>
            <w:vAlign w:val="top"/>
          </w:tcPr>
          <w:p w14:paraId="713EB291">
            <w:pPr>
              <w:pStyle w:val="13"/>
              <w:spacing w:before="33" w:line="221" w:lineRule="auto"/>
              <w:ind w:left="36"/>
            </w:pPr>
            <w:r>
              <w:rPr>
                <w:spacing w:val="-1"/>
              </w:rPr>
              <w:t>第</w:t>
            </w:r>
            <w:r>
              <w:rPr>
                <w:rFonts w:hint="eastAsia"/>
                <w:spacing w:val="-1"/>
                <w:lang w:val="en-US" w:eastAsia="zh-CN"/>
              </w:rPr>
              <w:t>四</w:t>
            </w:r>
            <w:r>
              <w:rPr>
                <w:spacing w:val="-1"/>
              </w:rPr>
              <w:t>期（202</w:t>
            </w:r>
            <w:r>
              <w:rPr>
                <w:rFonts w:hint="eastAsia"/>
                <w:spacing w:val="-1"/>
                <w:lang w:val="en-US" w:eastAsia="zh-CN"/>
              </w:rPr>
              <w:t>5</w:t>
            </w:r>
            <w:bookmarkStart w:id="0" w:name="_GoBack"/>
            <w:bookmarkEnd w:id="0"/>
            <w:r>
              <w:rPr>
                <w:spacing w:val="-1"/>
              </w:rPr>
              <w:t>年度）子课题</w:t>
            </w:r>
          </w:p>
        </w:tc>
        <w:tc>
          <w:tcPr>
            <w:tcW w:w="1729" w:type="dxa"/>
            <w:vAlign w:val="top"/>
          </w:tcPr>
          <w:p w14:paraId="67C01763">
            <w:pPr>
              <w:pStyle w:val="13"/>
              <w:spacing w:before="67" w:line="183" w:lineRule="auto"/>
              <w:ind w:left="45"/>
              <w:rPr>
                <w:rFonts w:hint="default" w:eastAsia="宋体"/>
                <w:lang w:val="en-US" w:eastAsia="zh-CN"/>
              </w:rPr>
            </w:pPr>
            <w:r>
              <w:rPr>
                <w:spacing w:val="-1"/>
              </w:rPr>
              <w:t>202</w:t>
            </w:r>
            <w:r>
              <w:rPr>
                <w:rFonts w:hint="eastAsia"/>
                <w:spacing w:val="-1"/>
                <w:lang w:val="en-US" w:eastAsia="zh-CN"/>
              </w:rPr>
              <w:t>5</w:t>
            </w:r>
            <w:r>
              <w:rPr>
                <w:spacing w:val="-1"/>
              </w:rPr>
              <w:t>.</w:t>
            </w:r>
            <w:r>
              <w:rPr>
                <w:rFonts w:hint="eastAsia"/>
                <w:spacing w:val="-1"/>
                <w:lang w:val="en-US" w:eastAsia="zh-CN"/>
              </w:rPr>
              <w:t>5.6</w:t>
            </w:r>
            <w:r>
              <w:rPr>
                <w:spacing w:val="-1"/>
              </w:rPr>
              <w:t>-</w:t>
            </w:r>
            <w:r>
              <w:rPr>
                <w:rFonts w:hint="eastAsia"/>
                <w:spacing w:val="-1"/>
                <w:lang w:val="en-US" w:eastAsia="zh-CN"/>
              </w:rPr>
              <w:t>6.6</w:t>
            </w:r>
          </w:p>
        </w:tc>
        <w:tc>
          <w:tcPr>
            <w:tcW w:w="1842" w:type="dxa"/>
            <w:vAlign w:val="top"/>
          </w:tcPr>
          <w:p w14:paraId="4A29A513">
            <w:pPr>
              <w:pStyle w:val="13"/>
              <w:spacing w:before="67" w:line="183" w:lineRule="auto"/>
              <w:rPr>
                <w:rFonts w:hint="default" w:eastAsia="宋体"/>
                <w:lang w:val="en-US" w:eastAsia="zh-CN"/>
              </w:rPr>
            </w:pPr>
            <w:r>
              <w:rPr>
                <w:spacing w:val="-1"/>
              </w:rPr>
              <w:t>202</w:t>
            </w:r>
            <w:r>
              <w:rPr>
                <w:rFonts w:hint="eastAsia"/>
                <w:spacing w:val="-1"/>
                <w:lang w:val="en-US" w:eastAsia="zh-CN"/>
              </w:rPr>
              <w:t>5</w:t>
            </w:r>
            <w:r>
              <w:rPr>
                <w:spacing w:val="-1"/>
              </w:rPr>
              <w:t>.</w:t>
            </w:r>
            <w:r>
              <w:rPr>
                <w:rFonts w:hint="eastAsia"/>
                <w:spacing w:val="-1"/>
                <w:lang w:val="en-US" w:eastAsia="zh-CN"/>
              </w:rPr>
              <w:t>6.16-6.20</w:t>
            </w:r>
          </w:p>
        </w:tc>
        <w:tc>
          <w:tcPr>
            <w:tcW w:w="1320" w:type="dxa"/>
            <w:vAlign w:val="top"/>
          </w:tcPr>
          <w:p w14:paraId="74B6D1C4">
            <w:pPr>
              <w:pStyle w:val="13"/>
              <w:spacing w:before="67" w:line="183" w:lineRule="auto"/>
              <w:ind w:left="207"/>
              <w:rPr>
                <w:rFonts w:hint="default" w:eastAsia="宋体"/>
                <w:lang w:val="en-US" w:eastAsia="zh-CN"/>
              </w:rPr>
            </w:pPr>
            <w:r>
              <w:rPr>
                <w:spacing w:val="-2"/>
              </w:rPr>
              <w:t>202</w:t>
            </w:r>
            <w:r>
              <w:rPr>
                <w:rFonts w:hint="eastAsia"/>
                <w:spacing w:val="-2"/>
                <w:lang w:val="en-US" w:eastAsia="zh-CN"/>
              </w:rPr>
              <w:t>8.6</w:t>
            </w:r>
          </w:p>
        </w:tc>
      </w:tr>
    </w:tbl>
    <w:p w14:paraId="0E191C1F">
      <w:pPr>
        <w:spacing w:line="259" w:lineRule="auto"/>
        <w:rPr>
          <w:rFonts w:ascii="Arial"/>
          <w:sz w:val="21"/>
        </w:rPr>
      </w:pPr>
    </w:p>
    <w:p w14:paraId="1CF8358E">
      <w:pPr>
        <w:spacing w:line="259" w:lineRule="auto"/>
        <w:rPr>
          <w:rFonts w:ascii="Arial"/>
          <w:sz w:val="21"/>
        </w:rPr>
      </w:pPr>
    </w:p>
    <w:p w14:paraId="4F8A0B3A">
      <w:pPr>
        <w:pStyle w:val="6"/>
        <w:spacing w:before="101" w:line="225" w:lineRule="auto"/>
        <w:ind w:left="11"/>
        <w:outlineLvl w:val="0"/>
        <w:rPr>
          <w:sz w:val="31"/>
          <w:szCs w:val="31"/>
        </w:rPr>
      </w:pPr>
      <w:r>
        <w:rPr>
          <w:b/>
          <w:bCs/>
          <w:spacing w:val="6"/>
          <w:sz w:val="31"/>
          <w:szCs w:val="31"/>
        </w:rPr>
        <w:t>七、课题平台及资源支撑</w:t>
      </w:r>
    </w:p>
    <w:p w14:paraId="3BDA4A08">
      <w:pPr>
        <w:spacing w:before="225" w:line="341" w:lineRule="auto"/>
        <w:ind w:left="12" w:right="823" w:firstLine="571"/>
        <w:rPr>
          <w:rFonts w:ascii="黑体" w:hAnsi="黑体" w:eastAsia="黑体" w:cs="黑体"/>
          <w:sz w:val="21"/>
          <w:szCs w:val="21"/>
        </w:rPr>
      </w:pPr>
      <w:r>
        <w:rPr>
          <w:rFonts w:ascii="黑体" w:hAnsi="黑体" w:eastAsia="黑体" w:cs="黑体"/>
          <w:b/>
          <w:bCs/>
          <w:spacing w:val="-1"/>
          <w:sz w:val="21"/>
          <w:szCs w:val="21"/>
        </w:rPr>
        <w:t>1.</w:t>
      </w:r>
      <w:r>
        <w:rPr>
          <w:rFonts w:ascii="黑体" w:hAnsi="黑体" w:eastAsia="黑体" w:cs="黑体"/>
          <w:spacing w:val="-1"/>
          <w:sz w:val="21"/>
          <w:szCs w:val="21"/>
        </w:rPr>
        <w:t xml:space="preserve"> </w:t>
      </w:r>
      <w:r>
        <w:rPr>
          <w:rFonts w:ascii="黑体" w:hAnsi="黑体" w:eastAsia="黑体" w:cs="黑体"/>
          <w:b/>
          <w:bCs/>
          <w:spacing w:val="-1"/>
          <w:sz w:val="21"/>
          <w:szCs w:val="21"/>
        </w:rPr>
        <w:t>证据导向的项目式学习系统（Evidence-ba</w:t>
      </w:r>
      <w:r>
        <w:rPr>
          <w:rFonts w:ascii="黑体" w:hAnsi="黑体" w:eastAsia="黑体" w:cs="黑体"/>
          <w:b/>
          <w:bCs/>
          <w:spacing w:val="-2"/>
          <w:sz w:val="21"/>
          <w:szCs w:val="21"/>
        </w:rPr>
        <w:t>sed</w:t>
      </w:r>
      <w:r>
        <w:rPr>
          <w:rFonts w:ascii="黑体" w:hAnsi="黑体" w:eastAsia="黑体" w:cs="黑体"/>
          <w:spacing w:val="-2"/>
          <w:sz w:val="21"/>
          <w:szCs w:val="21"/>
        </w:rPr>
        <w:t xml:space="preserve"> </w:t>
      </w:r>
      <w:r>
        <w:rPr>
          <w:rFonts w:ascii="黑体" w:hAnsi="黑体" w:eastAsia="黑体" w:cs="黑体"/>
          <w:b/>
          <w:bCs/>
          <w:spacing w:val="-2"/>
          <w:sz w:val="21"/>
          <w:szCs w:val="21"/>
        </w:rPr>
        <w:t>Project</w:t>
      </w:r>
      <w:r>
        <w:rPr>
          <w:rFonts w:ascii="黑体" w:hAnsi="黑体" w:eastAsia="黑体" w:cs="黑体"/>
          <w:spacing w:val="-2"/>
          <w:sz w:val="21"/>
          <w:szCs w:val="21"/>
        </w:rPr>
        <w:t xml:space="preserve"> </w:t>
      </w:r>
      <w:r>
        <w:rPr>
          <w:rFonts w:ascii="黑体" w:hAnsi="黑体" w:eastAsia="黑体" w:cs="黑体"/>
          <w:b/>
          <w:bCs/>
          <w:spacing w:val="-2"/>
          <w:sz w:val="21"/>
          <w:szCs w:val="21"/>
        </w:rPr>
        <w:t>Based</w:t>
      </w:r>
      <w:r>
        <w:rPr>
          <w:rFonts w:ascii="黑体" w:hAnsi="黑体" w:eastAsia="黑体" w:cs="黑体"/>
          <w:spacing w:val="-2"/>
          <w:sz w:val="21"/>
          <w:szCs w:val="21"/>
        </w:rPr>
        <w:t xml:space="preserve"> </w:t>
      </w:r>
      <w:r>
        <w:rPr>
          <w:rFonts w:ascii="黑体" w:hAnsi="黑体" w:eastAsia="黑体" w:cs="黑体"/>
          <w:b/>
          <w:bCs/>
          <w:spacing w:val="-2"/>
          <w:sz w:val="21"/>
          <w:szCs w:val="21"/>
        </w:rPr>
        <w:t>Learning</w:t>
      </w:r>
      <w:r>
        <w:rPr>
          <w:rFonts w:ascii="黑体" w:hAnsi="黑体" w:eastAsia="黑体" w:cs="黑体"/>
          <w:spacing w:val="-2"/>
          <w:sz w:val="21"/>
          <w:szCs w:val="21"/>
        </w:rPr>
        <w:t xml:space="preserve"> </w:t>
      </w:r>
      <w:r>
        <w:rPr>
          <w:rFonts w:ascii="黑体" w:hAnsi="黑体" w:eastAsia="黑体" w:cs="黑体"/>
          <w:b/>
          <w:bCs/>
          <w:spacing w:val="-2"/>
          <w:sz w:val="21"/>
          <w:szCs w:val="21"/>
        </w:rPr>
        <w:t>System,</w:t>
      </w:r>
      <w:r>
        <w:rPr>
          <w:rFonts w:ascii="黑体" w:hAnsi="黑体" w:eastAsia="黑体" w:cs="黑体"/>
          <w:sz w:val="21"/>
          <w:szCs w:val="21"/>
        </w:rPr>
        <w:t xml:space="preserve">  </w:t>
      </w:r>
      <w:r>
        <w:rPr>
          <w:rFonts w:ascii="黑体" w:hAnsi="黑体" w:eastAsia="黑体" w:cs="黑体"/>
          <w:b/>
          <w:bCs/>
          <w:spacing w:val="-2"/>
          <w:sz w:val="21"/>
          <w:szCs w:val="21"/>
        </w:rPr>
        <w:t>EPBL系统</w:t>
      </w:r>
      <w:r>
        <w:rPr>
          <w:rFonts w:ascii="黑体" w:hAnsi="黑体" w:eastAsia="黑体" w:cs="黑体"/>
          <w:b/>
          <w:bCs/>
          <w:spacing w:val="2"/>
          <w:sz w:val="21"/>
          <w:szCs w:val="21"/>
        </w:rPr>
        <w:t>），</w:t>
      </w:r>
      <w:r>
        <w:rPr>
          <w:rFonts w:ascii="黑体" w:hAnsi="黑体" w:eastAsia="黑体" w:cs="黑体"/>
          <w:b/>
          <w:bCs/>
          <w:color w:val="261CDC"/>
          <w:spacing w:val="-2"/>
          <w:sz w:val="21"/>
          <w:szCs w:val="21"/>
        </w:rPr>
        <w:t>http</w:t>
      </w:r>
      <w:r>
        <w:rPr>
          <w:rFonts w:hint="eastAsia" w:ascii="黑体" w:hAnsi="黑体" w:eastAsia="黑体" w:cs="黑体"/>
          <w:b/>
          <w:bCs/>
          <w:color w:val="261CDC"/>
          <w:spacing w:val="-2"/>
          <w:sz w:val="21"/>
          <w:szCs w:val="21"/>
          <w:lang w:val="en-US" w:eastAsia="zh-CN"/>
        </w:rPr>
        <w:t>s</w:t>
      </w:r>
      <w:r>
        <w:rPr>
          <w:rFonts w:ascii="黑体" w:hAnsi="黑体" w:eastAsia="黑体" w:cs="黑体"/>
          <w:b/>
          <w:bCs/>
          <w:color w:val="261CDC"/>
          <w:spacing w:val="-2"/>
          <w:sz w:val="21"/>
          <w:szCs w:val="21"/>
        </w:rPr>
        <w:t>://epbl.aicfe.cn</w:t>
      </w:r>
    </w:p>
    <w:p w14:paraId="4725D9AC">
      <w:pPr>
        <w:pStyle w:val="6"/>
        <w:spacing w:before="56" w:line="354" w:lineRule="auto"/>
        <w:ind w:left="22" w:right="2" w:firstLine="419"/>
        <w:jc w:val="both"/>
      </w:pPr>
      <w:r>
        <w:rPr>
          <w:spacing w:val="4"/>
        </w:rPr>
        <w:t>子课题以证据导向的项目式学习（</w:t>
      </w:r>
      <w:r>
        <w:t>EPBL</w:t>
      </w:r>
      <w:r>
        <w:rPr>
          <w:spacing w:val="4"/>
        </w:rPr>
        <w:t>）系统为载体，</w:t>
      </w:r>
      <w:r>
        <w:t>EPBL</w:t>
      </w:r>
      <w:r>
        <w:rPr>
          <w:spacing w:val="3"/>
        </w:rPr>
        <w:t>系统由高精尖中心自主研</w:t>
      </w:r>
      <w:r>
        <w:t xml:space="preserve"> </w:t>
      </w:r>
      <w:r>
        <w:rPr>
          <w:spacing w:val="3"/>
        </w:rPr>
        <w:t xml:space="preserve">发，在对国内外优秀项目式学习方案和案例进行汇聚的同时，基于各学科课程标准和学科 知识图谱，以及学习者能力发展模型，实现自动推荐、人为筛选等多种方式的项目式学习 </w:t>
      </w:r>
      <w:r>
        <w:rPr>
          <w:spacing w:val="2"/>
        </w:rPr>
        <w:t>方案生成，同时支持学习者在线学习及全学习过程的数据采集和智能测评，</w:t>
      </w:r>
      <w:r>
        <w:rPr>
          <w:spacing w:val="-57"/>
        </w:rPr>
        <w:t xml:space="preserve"> </w:t>
      </w:r>
      <w:r>
        <w:rPr>
          <w:spacing w:val="1"/>
        </w:rPr>
        <w:t>从而不断促进</w:t>
      </w:r>
      <w:r>
        <w:t xml:space="preserve"> </w:t>
      </w:r>
      <w:r>
        <w:rPr>
          <w:spacing w:val="-2"/>
        </w:rPr>
        <w:t>学习者问题解决能力、创新能力等综合素养的发展。</w:t>
      </w:r>
    </w:p>
    <w:p w14:paraId="0B1B0D49">
      <w:pPr>
        <w:keepNext w:val="0"/>
        <w:keepLines w:val="0"/>
        <w:pageBreakBefore w:val="0"/>
        <w:widowControl/>
        <w:kinsoku w:val="0"/>
        <w:wordWrap/>
        <w:overflowPunct/>
        <w:topLinePunct w:val="0"/>
        <w:autoSpaceDE w:val="0"/>
        <w:autoSpaceDN w:val="0"/>
        <w:bidi w:val="0"/>
        <w:adjustRightInd w:val="0"/>
        <w:snapToGrid w:val="0"/>
        <w:spacing w:before="5" w:line="240" w:lineRule="auto"/>
        <w:textAlignment w:val="baseline"/>
      </w:pPr>
      <w:r>
        <w:drawing>
          <wp:inline distT="0" distB="0" distL="114300" distR="114300">
            <wp:extent cx="5291455" cy="611632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91455" cy="6116320"/>
                    </a:xfrm>
                    <a:prstGeom prst="rect">
                      <a:avLst/>
                    </a:prstGeom>
                    <a:noFill/>
                    <a:ln>
                      <a:noFill/>
                    </a:ln>
                  </pic:spPr>
                </pic:pic>
              </a:graphicData>
            </a:graphic>
          </wp:inline>
        </w:drawing>
      </w:r>
    </w:p>
    <w:p w14:paraId="6CFB3C29">
      <w:pPr>
        <w:pStyle w:val="6"/>
        <w:spacing w:before="226" w:line="344" w:lineRule="auto"/>
        <w:ind w:left="466" w:right="2228" w:firstLine="2221"/>
        <w:rPr>
          <w:spacing w:val="8"/>
        </w:rPr>
      </w:pPr>
      <w:r>
        <w:rPr>
          <w:spacing w:val="-3"/>
        </w:rPr>
        <w:t>图 3 证据导向的项目式学习系统首页</w:t>
      </w:r>
      <w:r>
        <w:rPr>
          <w:spacing w:val="8"/>
        </w:rPr>
        <w:t xml:space="preserve"> </w:t>
      </w:r>
    </w:p>
    <w:p w14:paraId="664E04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pPr>
    </w:p>
    <w:sectPr>
      <w:pgSz w:w="11912" w:h="16841"/>
      <w:pgMar w:top="1431" w:right="1786" w:bottom="1417"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51FE4"/>
    <w:multiLevelType w:val="singleLevel"/>
    <w:tmpl w:val="A5451FE4"/>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lkYmQ2YWI1YTM3MDkwZmZiYTgzNTRjNjhkNTY4NWYifQ=="/>
  </w:docVars>
  <w:rsids>
    <w:rsidRoot w:val="00000000"/>
    <w:rsid w:val="018A54E7"/>
    <w:rsid w:val="03E35B15"/>
    <w:rsid w:val="04221CA6"/>
    <w:rsid w:val="050242AD"/>
    <w:rsid w:val="06A978B5"/>
    <w:rsid w:val="07574AD6"/>
    <w:rsid w:val="08B61527"/>
    <w:rsid w:val="0B1C70AA"/>
    <w:rsid w:val="0CAF051D"/>
    <w:rsid w:val="0D3B5CCB"/>
    <w:rsid w:val="0E374D2A"/>
    <w:rsid w:val="0F0323B9"/>
    <w:rsid w:val="0F19203C"/>
    <w:rsid w:val="0F2F3A12"/>
    <w:rsid w:val="0F6525E4"/>
    <w:rsid w:val="1010343F"/>
    <w:rsid w:val="10A4393A"/>
    <w:rsid w:val="1162629C"/>
    <w:rsid w:val="117C6279"/>
    <w:rsid w:val="11E41AA1"/>
    <w:rsid w:val="121A5F6A"/>
    <w:rsid w:val="124403B4"/>
    <w:rsid w:val="14473D69"/>
    <w:rsid w:val="149E0388"/>
    <w:rsid w:val="16E80942"/>
    <w:rsid w:val="179922D3"/>
    <w:rsid w:val="1B4855C5"/>
    <w:rsid w:val="1B6507F3"/>
    <w:rsid w:val="1D3021D2"/>
    <w:rsid w:val="1D526E45"/>
    <w:rsid w:val="1F2F4E6B"/>
    <w:rsid w:val="1FC83937"/>
    <w:rsid w:val="21507EA2"/>
    <w:rsid w:val="218E68BA"/>
    <w:rsid w:val="24E011DB"/>
    <w:rsid w:val="25965D3D"/>
    <w:rsid w:val="262C6B49"/>
    <w:rsid w:val="264E443C"/>
    <w:rsid w:val="277312D3"/>
    <w:rsid w:val="27A95EF3"/>
    <w:rsid w:val="27AF6820"/>
    <w:rsid w:val="287F663C"/>
    <w:rsid w:val="291275A9"/>
    <w:rsid w:val="29C747DD"/>
    <w:rsid w:val="2A3E39E6"/>
    <w:rsid w:val="2B32641C"/>
    <w:rsid w:val="2C734AF0"/>
    <w:rsid w:val="2CA353E4"/>
    <w:rsid w:val="2FA03FC4"/>
    <w:rsid w:val="30ED2B9B"/>
    <w:rsid w:val="32A520FC"/>
    <w:rsid w:val="32FC7776"/>
    <w:rsid w:val="331F595E"/>
    <w:rsid w:val="346C65E7"/>
    <w:rsid w:val="356D5FA2"/>
    <w:rsid w:val="359B3391"/>
    <w:rsid w:val="368220F2"/>
    <w:rsid w:val="368423B6"/>
    <w:rsid w:val="37106B1B"/>
    <w:rsid w:val="38664899"/>
    <w:rsid w:val="3946343D"/>
    <w:rsid w:val="3AB5229D"/>
    <w:rsid w:val="3B8B4C6A"/>
    <w:rsid w:val="3C1C6B44"/>
    <w:rsid w:val="3C565C46"/>
    <w:rsid w:val="3E0111E3"/>
    <w:rsid w:val="3E3416D5"/>
    <w:rsid w:val="3F981351"/>
    <w:rsid w:val="40DB2273"/>
    <w:rsid w:val="41F23423"/>
    <w:rsid w:val="42114C71"/>
    <w:rsid w:val="422640C9"/>
    <w:rsid w:val="42A91CE4"/>
    <w:rsid w:val="443640EC"/>
    <w:rsid w:val="443B60E6"/>
    <w:rsid w:val="4451366F"/>
    <w:rsid w:val="45565B9C"/>
    <w:rsid w:val="45D40490"/>
    <w:rsid w:val="46FF7EF9"/>
    <w:rsid w:val="497A1573"/>
    <w:rsid w:val="4B296952"/>
    <w:rsid w:val="4D13189E"/>
    <w:rsid w:val="4D1760B7"/>
    <w:rsid w:val="4E16040D"/>
    <w:rsid w:val="4E563066"/>
    <w:rsid w:val="4E724CEA"/>
    <w:rsid w:val="4F3B153B"/>
    <w:rsid w:val="4FB62866"/>
    <w:rsid w:val="50811622"/>
    <w:rsid w:val="50FD7050"/>
    <w:rsid w:val="513E57A0"/>
    <w:rsid w:val="52075B24"/>
    <w:rsid w:val="52484A1A"/>
    <w:rsid w:val="52E57838"/>
    <w:rsid w:val="530E129B"/>
    <w:rsid w:val="54936CA6"/>
    <w:rsid w:val="54A97C3B"/>
    <w:rsid w:val="55FF6E63"/>
    <w:rsid w:val="56097CE2"/>
    <w:rsid w:val="56A634F3"/>
    <w:rsid w:val="58473F79"/>
    <w:rsid w:val="5A8B1BF4"/>
    <w:rsid w:val="5B4B7CAA"/>
    <w:rsid w:val="5DD13342"/>
    <w:rsid w:val="5DDC5CDC"/>
    <w:rsid w:val="5FC55B17"/>
    <w:rsid w:val="60025ECE"/>
    <w:rsid w:val="60213E7A"/>
    <w:rsid w:val="60234687"/>
    <w:rsid w:val="612F5326"/>
    <w:rsid w:val="61B37A1C"/>
    <w:rsid w:val="61BA613A"/>
    <w:rsid w:val="64804DAB"/>
    <w:rsid w:val="64B27C93"/>
    <w:rsid w:val="65254915"/>
    <w:rsid w:val="68F17EB2"/>
    <w:rsid w:val="6BF37F4E"/>
    <w:rsid w:val="6C363A3D"/>
    <w:rsid w:val="6DC5678C"/>
    <w:rsid w:val="6E1478D5"/>
    <w:rsid w:val="70EE6FDD"/>
    <w:rsid w:val="72225811"/>
    <w:rsid w:val="72D354A8"/>
    <w:rsid w:val="74CC29BA"/>
    <w:rsid w:val="75603D7E"/>
    <w:rsid w:val="75A136D2"/>
    <w:rsid w:val="75B35AE7"/>
    <w:rsid w:val="75D73C17"/>
    <w:rsid w:val="763C0907"/>
    <w:rsid w:val="76B31878"/>
    <w:rsid w:val="77A05FDA"/>
    <w:rsid w:val="7B144F61"/>
    <w:rsid w:val="7B266586"/>
    <w:rsid w:val="7C464F3C"/>
    <w:rsid w:val="7C8C5453"/>
    <w:rsid w:val="7C9C6796"/>
    <w:rsid w:val="7D4D2CF0"/>
    <w:rsid w:val="7D853C80"/>
    <w:rsid w:val="7D9B26AB"/>
    <w:rsid w:val="7DC1282E"/>
    <w:rsid w:val="7E667B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宋体" w:hAnsi="宋体" w:eastAsia="宋体" w:cs="宋体"/>
      <w:sz w:val="21"/>
      <w:szCs w:val="21"/>
      <w:lang w:val="en-US" w:eastAsia="en-US" w:bidi="ar-SA"/>
    </w:rPr>
  </w:style>
  <w:style w:type="character" w:styleId="9">
    <w:name w:val="Strong"/>
    <w:basedOn w:val="8"/>
    <w:qFormat/>
    <w:uiPriority w:val="0"/>
    <w:rPr>
      <w:b/>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4651</Words>
  <Characters>4931</Characters>
  <TotalTime>0</TotalTime>
  <ScaleCrop>false</ScaleCrop>
  <LinksUpToDate>false</LinksUpToDate>
  <CharactersWithSpaces>5072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2023-10-12T15:53:00Z</dcterms:created>
  <dc:creator>诸婧文</dc:creator>
  <cp:lastModifiedBy>刘春旸</cp:lastModifiedBy>
  <dcterms:modified xsi:type="dcterms:W3CDTF">2025-05-08T01:45:39Z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2024-11-18T15:49:59Z</vt:filetime>
  </property>
  <property fmtid="{D5CDD505-2E9C-101B-9397-08002B2CF9AE}" pid="4" name="KSOProductBuildVer">
    <vt:lpwstr>2052-12.1.0.19302</vt:lpwstr>
  </property>
  <property fmtid="{D5CDD505-2E9C-101B-9397-08002B2CF9AE}" pid="5" name="ICV">
    <vt:lpwstr>43E0A0453E374BA99F0AEF68A54C2F02_12</vt:lpwstr>
  </property>
  <property fmtid="{D5CDD505-2E9C-101B-9397-08002B2CF9AE}" pid="6" name="KSOTemplateDocerSaveRecord">
    <vt:lpwstr>eyJoZGlkIjoiYzc2NTg0ZjMxOTZhODY5YTZjZTc2MWYxY2JmNzEzMWIiLCJ1c2VySWQiOiIxNjUwMjMwMzEyIn0=</vt:lpwstr>
  </property>
</Properties>
</file>